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70A" w:rsidRDefault="00800D10" w:rsidP="00D959AA">
      <w:pPr>
        <w:spacing w:after="120" w:line="24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Vacant/Abandoned </w:t>
      </w:r>
      <w:r w:rsidR="00993E80" w:rsidRPr="00761F64">
        <w:rPr>
          <w:rFonts w:ascii="Times New Roman" w:hAnsi="Times New Roman" w:cs="Times New Roman"/>
          <w:b/>
          <w:sz w:val="24"/>
          <w:szCs w:val="24"/>
        </w:rPr>
        <w:t>Property in Philadelphia</w:t>
      </w:r>
    </w:p>
    <w:p w:rsidR="00D959AA" w:rsidRDefault="00D959AA" w:rsidP="00D959AA">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Presented at Vacant Property Colloquium</w:t>
      </w:r>
    </w:p>
    <w:p w:rsidR="00D959AA" w:rsidRPr="00761F64" w:rsidRDefault="00D959AA" w:rsidP="00D959AA">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UAA Annual Meeting, 2012</w:t>
      </w:r>
    </w:p>
    <w:p w:rsidR="00761F64" w:rsidRDefault="00761F64" w:rsidP="00993E80">
      <w:pPr>
        <w:spacing w:after="120"/>
        <w:rPr>
          <w:rFonts w:ascii="Times New Roman" w:hAnsi="Times New Roman" w:cs="Times New Roman"/>
          <w:sz w:val="24"/>
          <w:szCs w:val="24"/>
        </w:rPr>
      </w:pPr>
    </w:p>
    <w:p w:rsidR="00993E80" w:rsidRPr="00993E80" w:rsidRDefault="00993E80" w:rsidP="004070E6">
      <w:pPr>
        <w:spacing w:after="120" w:line="240" w:lineRule="auto"/>
        <w:rPr>
          <w:rFonts w:ascii="Times New Roman" w:hAnsi="Times New Roman" w:cs="Times New Roman"/>
          <w:sz w:val="24"/>
          <w:szCs w:val="24"/>
        </w:rPr>
      </w:pPr>
      <w:r w:rsidRPr="00993E80">
        <w:rPr>
          <w:rFonts w:ascii="Times New Roman" w:hAnsi="Times New Roman" w:cs="Times New Roman"/>
          <w:sz w:val="24"/>
          <w:szCs w:val="24"/>
        </w:rPr>
        <w:t xml:space="preserve">There are </w:t>
      </w:r>
      <w:r w:rsidR="007C4257">
        <w:rPr>
          <w:rFonts w:ascii="Times New Roman" w:hAnsi="Times New Roman" w:cs="Times New Roman"/>
          <w:sz w:val="24"/>
          <w:szCs w:val="24"/>
        </w:rPr>
        <w:t>four</w:t>
      </w:r>
      <w:r w:rsidRPr="00993E80">
        <w:rPr>
          <w:rFonts w:ascii="Times New Roman" w:hAnsi="Times New Roman" w:cs="Times New Roman"/>
          <w:sz w:val="24"/>
          <w:szCs w:val="24"/>
        </w:rPr>
        <w:t xml:space="preserve"> dimensions to this issue in Philadelp</w:t>
      </w:r>
      <w:r>
        <w:rPr>
          <w:rFonts w:ascii="Times New Roman" w:hAnsi="Times New Roman" w:cs="Times New Roman"/>
          <w:sz w:val="24"/>
          <w:szCs w:val="24"/>
        </w:rPr>
        <w:t xml:space="preserve">hia that </w:t>
      </w:r>
      <w:proofErr w:type="gramStart"/>
      <w:r>
        <w:rPr>
          <w:rFonts w:ascii="Times New Roman" w:hAnsi="Times New Roman" w:cs="Times New Roman"/>
          <w:sz w:val="24"/>
          <w:szCs w:val="24"/>
        </w:rPr>
        <w:t>occasionally</w:t>
      </w:r>
      <w:r w:rsidR="00D959AA">
        <w:rPr>
          <w:rFonts w:ascii="Times New Roman" w:hAnsi="Times New Roman" w:cs="Times New Roman"/>
          <w:sz w:val="24"/>
          <w:szCs w:val="24"/>
        </w:rPr>
        <w:t>,</w:t>
      </w:r>
      <w:proofErr w:type="gramEnd"/>
      <w:r w:rsidR="00D959AA">
        <w:rPr>
          <w:rFonts w:ascii="Times New Roman" w:hAnsi="Times New Roman" w:cs="Times New Roman"/>
          <w:sz w:val="24"/>
          <w:szCs w:val="24"/>
        </w:rPr>
        <w:t xml:space="preserve"> and not automatically</w:t>
      </w:r>
      <w:r>
        <w:rPr>
          <w:rFonts w:ascii="Times New Roman" w:hAnsi="Times New Roman" w:cs="Times New Roman"/>
          <w:sz w:val="24"/>
          <w:szCs w:val="24"/>
        </w:rPr>
        <w:t xml:space="preserve"> intersect</w:t>
      </w:r>
      <w:r w:rsidR="00D959AA">
        <w:rPr>
          <w:rFonts w:ascii="Times New Roman" w:hAnsi="Times New Roman" w:cs="Times New Roman"/>
          <w:sz w:val="24"/>
          <w:szCs w:val="24"/>
        </w:rPr>
        <w:t>. P</w:t>
      </w:r>
      <w:r>
        <w:rPr>
          <w:rFonts w:ascii="Times New Roman" w:hAnsi="Times New Roman" w:cs="Times New Roman"/>
          <w:sz w:val="24"/>
          <w:szCs w:val="24"/>
        </w:rPr>
        <w:t>roblematically, there is no single source of information that can be used to definitively determine the exact amounts or parcel information in regard</w:t>
      </w:r>
      <w:r w:rsidR="00D959AA">
        <w:rPr>
          <w:rFonts w:ascii="Times New Roman" w:hAnsi="Times New Roman" w:cs="Times New Roman"/>
          <w:sz w:val="24"/>
          <w:szCs w:val="24"/>
        </w:rPr>
        <w:t xml:space="preserve"> to each of these dimens</w:t>
      </w:r>
      <w:r w:rsidR="000A4A28">
        <w:rPr>
          <w:rFonts w:ascii="Times New Roman" w:hAnsi="Times New Roman" w:cs="Times New Roman"/>
          <w:sz w:val="24"/>
          <w:szCs w:val="24"/>
        </w:rPr>
        <w:t>ions</w:t>
      </w:r>
      <w:r>
        <w:rPr>
          <w:rFonts w:ascii="Times New Roman" w:hAnsi="Times New Roman" w:cs="Times New Roman"/>
          <w:sz w:val="24"/>
          <w:szCs w:val="24"/>
        </w:rPr>
        <w:t>. The four dimensions are:</w:t>
      </w:r>
    </w:p>
    <w:p w:rsidR="00993E80" w:rsidRPr="00761F64" w:rsidRDefault="00993E80" w:rsidP="004070E6">
      <w:pPr>
        <w:pStyle w:val="ListParagraph"/>
        <w:numPr>
          <w:ilvl w:val="0"/>
          <w:numId w:val="1"/>
        </w:numPr>
        <w:spacing w:after="120" w:line="240" w:lineRule="auto"/>
        <w:rPr>
          <w:rFonts w:ascii="Times New Roman" w:hAnsi="Times New Roman" w:cs="Times New Roman"/>
          <w:sz w:val="24"/>
          <w:szCs w:val="24"/>
        </w:rPr>
      </w:pPr>
      <w:r w:rsidRPr="00D959AA">
        <w:rPr>
          <w:rFonts w:ascii="Times New Roman" w:hAnsi="Times New Roman" w:cs="Times New Roman"/>
          <w:sz w:val="24"/>
          <w:szCs w:val="24"/>
          <w:u w:val="single"/>
        </w:rPr>
        <w:t>Vacant land</w:t>
      </w:r>
      <w:r w:rsidRPr="00761F64">
        <w:rPr>
          <w:rFonts w:ascii="Times New Roman" w:hAnsi="Times New Roman" w:cs="Times New Roman"/>
          <w:sz w:val="24"/>
          <w:szCs w:val="24"/>
        </w:rPr>
        <w:t xml:space="preserve"> </w:t>
      </w:r>
      <w:r w:rsidR="000A4A28">
        <w:rPr>
          <w:rFonts w:ascii="Times New Roman" w:hAnsi="Times New Roman" w:cs="Times New Roman"/>
          <w:sz w:val="24"/>
          <w:szCs w:val="24"/>
        </w:rPr>
        <w:t>(Openly vacant land is readily apparent; vacant structures range from market-ready to dilapidated</w:t>
      </w:r>
      <w:r w:rsidR="00D959AA">
        <w:rPr>
          <w:rFonts w:ascii="Times New Roman" w:hAnsi="Times New Roman" w:cs="Times New Roman"/>
          <w:sz w:val="24"/>
          <w:szCs w:val="24"/>
        </w:rPr>
        <w:t>.</w:t>
      </w:r>
      <w:r w:rsidR="00552CCA">
        <w:rPr>
          <w:rFonts w:ascii="Times New Roman" w:hAnsi="Times New Roman" w:cs="Times New Roman"/>
          <w:sz w:val="24"/>
          <w:szCs w:val="24"/>
        </w:rPr>
        <w:t xml:space="preserve"> Also, see </w:t>
      </w:r>
      <w:proofErr w:type="spellStart"/>
      <w:r w:rsidR="00552CCA">
        <w:rPr>
          <w:rFonts w:ascii="Times New Roman" w:hAnsi="Times New Roman" w:cs="Times New Roman"/>
          <w:sz w:val="24"/>
          <w:szCs w:val="24"/>
        </w:rPr>
        <w:t>Cresce</w:t>
      </w:r>
      <w:proofErr w:type="spellEnd"/>
      <w:r w:rsidR="00552CCA">
        <w:rPr>
          <w:rFonts w:ascii="Times New Roman" w:hAnsi="Times New Roman" w:cs="Times New Roman"/>
          <w:sz w:val="24"/>
          <w:szCs w:val="24"/>
        </w:rPr>
        <w:t>, 2012 on how methods affect Census and ACS findings.</w:t>
      </w:r>
      <w:r w:rsidR="000A4A28">
        <w:rPr>
          <w:rFonts w:ascii="Times New Roman" w:hAnsi="Times New Roman" w:cs="Times New Roman"/>
          <w:sz w:val="24"/>
          <w:szCs w:val="24"/>
        </w:rPr>
        <w:t>)</w:t>
      </w:r>
    </w:p>
    <w:p w:rsidR="00993E80" w:rsidRPr="00761F64" w:rsidRDefault="00993E80" w:rsidP="004070E6">
      <w:pPr>
        <w:pStyle w:val="ListParagraph"/>
        <w:numPr>
          <w:ilvl w:val="0"/>
          <w:numId w:val="1"/>
        </w:numPr>
        <w:spacing w:after="120" w:line="240" w:lineRule="auto"/>
        <w:rPr>
          <w:rFonts w:ascii="Times New Roman" w:hAnsi="Times New Roman" w:cs="Times New Roman"/>
          <w:sz w:val="24"/>
          <w:szCs w:val="24"/>
        </w:rPr>
      </w:pPr>
      <w:r w:rsidRPr="00D959AA">
        <w:rPr>
          <w:rFonts w:ascii="Times New Roman" w:hAnsi="Times New Roman" w:cs="Times New Roman"/>
          <w:sz w:val="24"/>
          <w:szCs w:val="24"/>
          <w:u w:val="single"/>
        </w:rPr>
        <w:t>Empty buildings</w:t>
      </w:r>
      <w:r w:rsidR="007C4257" w:rsidRPr="00D959AA">
        <w:rPr>
          <w:rFonts w:ascii="Times New Roman" w:hAnsi="Times New Roman" w:cs="Times New Roman"/>
          <w:sz w:val="24"/>
          <w:szCs w:val="24"/>
          <w:u w:val="single"/>
        </w:rPr>
        <w:t>/demolitions</w:t>
      </w:r>
      <w:r w:rsidR="000A4A28">
        <w:rPr>
          <w:rFonts w:ascii="Times New Roman" w:hAnsi="Times New Roman" w:cs="Times New Roman"/>
          <w:sz w:val="24"/>
          <w:szCs w:val="24"/>
        </w:rPr>
        <w:t xml:space="preserve"> (Truly empty buildings are not the same universe as those ready for demolition; ready for demolition buildings are either imminently dangerous, under an eminent domain order, or can be handled by a private owner seeking to clear or revitalize the land.)</w:t>
      </w:r>
    </w:p>
    <w:p w:rsidR="00993E80" w:rsidRPr="00761F64" w:rsidRDefault="00993E80" w:rsidP="004070E6">
      <w:pPr>
        <w:pStyle w:val="ListParagraph"/>
        <w:numPr>
          <w:ilvl w:val="0"/>
          <w:numId w:val="1"/>
        </w:numPr>
        <w:spacing w:after="120" w:line="240" w:lineRule="auto"/>
        <w:rPr>
          <w:rFonts w:ascii="Times New Roman" w:hAnsi="Times New Roman" w:cs="Times New Roman"/>
          <w:sz w:val="24"/>
          <w:szCs w:val="24"/>
        </w:rPr>
      </w:pPr>
      <w:r w:rsidRPr="00D959AA">
        <w:rPr>
          <w:rFonts w:ascii="Times New Roman" w:hAnsi="Times New Roman" w:cs="Times New Roman"/>
          <w:sz w:val="24"/>
          <w:szCs w:val="24"/>
          <w:u w:val="single"/>
        </w:rPr>
        <w:t>Tax delinquency</w:t>
      </w:r>
      <w:r w:rsidR="000A4A28">
        <w:rPr>
          <w:rFonts w:ascii="Times New Roman" w:hAnsi="Times New Roman" w:cs="Times New Roman"/>
          <w:sz w:val="24"/>
          <w:szCs w:val="24"/>
        </w:rPr>
        <w:t xml:space="preserve"> (This is the most direct data to obtain, assuming that the city/county has current information that is itself accurate; Philadelphia is in fairly good condition in this respect.)</w:t>
      </w:r>
    </w:p>
    <w:p w:rsidR="00993E80" w:rsidRPr="00761F64" w:rsidRDefault="007C4257" w:rsidP="004070E6">
      <w:pPr>
        <w:pStyle w:val="ListParagraph"/>
        <w:numPr>
          <w:ilvl w:val="0"/>
          <w:numId w:val="1"/>
        </w:numPr>
        <w:spacing w:after="120" w:line="240" w:lineRule="auto"/>
        <w:rPr>
          <w:rFonts w:ascii="Times New Roman" w:hAnsi="Times New Roman" w:cs="Times New Roman"/>
          <w:sz w:val="24"/>
          <w:szCs w:val="24"/>
        </w:rPr>
      </w:pPr>
      <w:r w:rsidRPr="00D959AA">
        <w:rPr>
          <w:rFonts w:ascii="Times New Roman" w:hAnsi="Times New Roman" w:cs="Times New Roman"/>
          <w:sz w:val="24"/>
          <w:szCs w:val="24"/>
          <w:u w:val="single"/>
        </w:rPr>
        <w:t>Foreclosure</w:t>
      </w:r>
      <w:r w:rsidR="000A4A28">
        <w:rPr>
          <w:rFonts w:ascii="Times New Roman" w:hAnsi="Times New Roman" w:cs="Times New Roman"/>
          <w:sz w:val="24"/>
          <w:szCs w:val="24"/>
        </w:rPr>
        <w:t xml:space="preserve"> (Foreclosures can be measured using several counts: Completed foreclosures, foreclosures in process – using discrete addresses to control for multiple amendments to the same </w:t>
      </w:r>
      <w:r w:rsidR="00D959AA">
        <w:rPr>
          <w:rFonts w:ascii="Times New Roman" w:hAnsi="Times New Roman" w:cs="Times New Roman"/>
          <w:sz w:val="24"/>
          <w:szCs w:val="24"/>
        </w:rPr>
        <w:t xml:space="preserve">property being </w:t>
      </w:r>
      <w:r w:rsidR="000A4A28">
        <w:rPr>
          <w:rFonts w:ascii="Times New Roman" w:hAnsi="Times New Roman" w:cs="Times New Roman"/>
          <w:sz w:val="24"/>
          <w:szCs w:val="24"/>
        </w:rPr>
        <w:t>foreclosed, or all foreclosure actions, with no controls for unique properties. National estimates of foreclosures tend toward the latter counts, and thus tend to inflate the volume of foreclosures.)</w:t>
      </w:r>
    </w:p>
    <w:p w:rsidR="00761F64" w:rsidRDefault="00761F64" w:rsidP="00993E80">
      <w:pPr>
        <w:spacing w:after="120"/>
        <w:rPr>
          <w:rFonts w:ascii="Times New Roman" w:hAnsi="Times New Roman" w:cs="Times New Roman"/>
          <w:sz w:val="24"/>
          <w:szCs w:val="24"/>
        </w:rPr>
      </w:pPr>
    </w:p>
    <w:p w:rsidR="00761F64" w:rsidRDefault="00761F64" w:rsidP="00761F64">
      <w:pPr>
        <w:autoSpaceDE w:val="0"/>
        <w:autoSpaceDN w:val="0"/>
        <w:adjustRightInd w:val="0"/>
        <w:spacing w:after="120" w:line="240" w:lineRule="auto"/>
        <w:rPr>
          <w:rFonts w:ascii="Times New Roman" w:hAnsi="Times New Roman" w:cs="Times New Roman"/>
          <w:sz w:val="24"/>
          <w:szCs w:val="24"/>
        </w:rPr>
      </w:pPr>
      <w:r w:rsidRPr="00993E80">
        <w:rPr>
          <w:rFonts w:ascii="Times New Roman" w:hAnsi="Times New Roman" w:cs="Times New Roman"/>
          <w:b/>
          <w:sz w:val="24"/>
          <w:szCs w:val="24"/>
        </w:rPr>
        <w:t>Background: ·</w:t>
      </w:r>
      <w:r w:rsidRPr="00993E80">
        <w:rPr>
          <w:rFonts w:ascii="Times New Roman" w:hAnsi="Times New Roman" w:cs="Times New Roman"/>
          <w:sz w:val="24"/>
          <w:szCs w:val="24"/>
        </w:rPr>
        <w:t xml:space="preserve"> </w:t>
      </w:r>
    </w:p>
    <w:p w:rsidR="00761F64" w:rsidRDefault="0032289E" w:rsidP="00761F64">
      <w:pPr>
        <w:autoSpaceDE w:val="0"/>
        <w:autoSpaceDN w:val="0"/>
        <w:adjustRightInd w:val="0"/>
        <w:spacing w:after="120" w:line="240" w:lineRule="auto"/>
        <w:rPr>
          <w:rFonts w:ascii="Times New Roman" w:hAnsi="Times New Roman" w:cs="Times New Roman"/>
          <w:sz w:val="24"/>
          <w:szCs w:val="24"/>
        </w:rPr>
      </w:pPr>
      <w:r>
        <w:rPr>
          <w:rFonts w:ascii="Times New Roman" w:hAnsi="Times New Roman" w:cs="Times New Roman"/>
          <w:sz w:val="24"/>
          <w:szCs w:val="24"/>
        </w:rPr>
        <w:t>Philadelphia is becoming increasingly Dickensian (</w:t>
      </w:r>
      <w:r w:rsidR="000A4A28">
        <w:rPr>
          <w:rFonts w:ascii="Times New Roman" w:hAnsi="Times New Roman" w:cs="Times New Roman"/>
          <w:sz w:val="24"/>
          <w:szCs w:val="24"/>
        </w:rPr>
        <w:t xml:space="preserve">as in a </w:t>
      </w:r>
      <w:r>
        <w:rPr>
          <w:rFonts w:ascii="Times New Roman" w:hAnsi="Times New Roman" w:cs="Times New Roman"/>
          <w:sz w:val="24"/>
          <w:szCs w:val="24"/>
        </w:rPr>
        <w:t xml:space="preserve">“tale of two cities”) in </w:t>
      </w:r>
      <w:r w:rsidR="00D959AA">
        <w:rPr>
          <w:rFonts w:ascii="Times New Roman" w:hAnsi="Times New Roman" w:cs="Times New Roman"/>
          <w:sz w:val="24"/>
          <w:szCs w:val="24"/>
        </w:rPr>
        <w:t>its</w:t>
      </w:r>
      <w:r>
        <w:rPr>
          <w:rFonts w:ascii="Times New Roman" w:hAnsi="Times New Roman" w:cs="Times New Roman"/>
          <w:sz w:val="24"/>
          <w:szCs w:val="24"/>
        </w:rPr>
        <w:t xml:space="preserve"> contrasts between housing affluence and shelter poverty. </w:t>
      </w:r>
      <w:r w:rsidR="00761F64">
        <w:rPr>
          <w:rFonts w:ascii="Times New Roman" w:hAnsi="Times New Roman" w:cs="Times New Roman"/>
          <w:sz w:val="24"/>
          <w:szCs w:val="24"/>
        </w:rPr>
        <w:t xml:space="preserve">Unlike the region, </w:t>
      </w:r>
      <w:r w:rsidR="00761F64" w:rsidRPr="00993E80">
        <w:rPr>
          <w:rFonts w:ascii="Times New Roman" w:hAnsi="Times New Roman" w:cs="Times New Roman"/>
          <w:sz w:val="24"/>
          <w:szCs w:val="24"/>
        </w:rPr>
        <w:t>Phil</w:t>
      </w:r>
      <w:r w:rsidR="00761F64">
        <w:rPr>
          <w:rFonts w:ascii="Times New Roman" w:hAnsi="Times New Roman" w:cs="Times New Roman"/>
          <w:sz w:val="24"/>
          <w:szCs w:val="24"/>
        </w:rPr>
        <w:t>adelphia’s homeownership rate is declining.</w:t>
      </w:r>
    </w:p>
    <w:p w:rsidR="00761F64" w:rsidRDefault="0032289E" w:rsidP="00761F64">
      <w:pPr>
        <w:autoSpaceDE w:val="0"/>
        <w:autoSpaceDN w:val="0"/>
        <w:adjustRightInd w:val="0"/>
        <w:spacing w:after="120" w:line="240" w:lineRule="auto"/>
        <w:ind w:firstLine="720"/>
        <w:rPr>
          <w:rFonts w:ascii="Times New Roman" w:hAnsi="Times New Roman" w:cs="Times New Roman"/>
          <w:sz w:val="24"/>
          <w:szCs w:val="24"/>
        </w:rPr>
      </w:pPr>
      <w:r>
        <w:rPr>
          <w:rFonts w:ascii="Times New Roman" w:hAnsi="Times New Roman" w:cs="Times New Roman"/>
          <w:sz w:val="24"/>
          <w:szCs w:val="24"/>
        </w:rPr>
        <w:t>2000</w:t>
      </w:r>
      <w:r w:rsidR="00761F64" w:rsidRPr="00993E80">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61F64" w:rsidRPr="00761F64">
        <w:rPr>
          <w:rFonts w:ascii="Times New Roman" w:hAnsi="Times New Roman" w:cs="Times New Roman"/>
          <w:sz w:val="24"/>
          <w:szCs w:val="24"/>
          <w:u w:val="single"/>
        </w:rPr>
        <w:t>59.3%</w:t>
      </w:r>
      <w:r>
        <w:rPr>
          <w:rFonts w:ascii="Times New Roman" w:hAnsi="Times New Roman" w:cs="Times New Roman"/>
          <w:sz w:val="24"/>
          <w:szCs w:val="24"/>
        </w:rPr>
        <w:t xml:space="preserve"> (Census)</w:t>
      </w:r>
      <w:r w:rsidR="00761F64" w:rsidRPr="00993E80">
        <w:rPr>
          <w:rFonts w:ascii="Times New Roman" w:hAnsi="Times New Roman" w:cs="Times New Roman"/>
          <w:sz w:val="24"/>
          <w:szCs w:val="24"/>
        </w:rPr>
        <w:t xml:space="preserve"> </w:t>
      </w:r>
    </w:p>
    <w:p w:rsidR="00761F64" w:rsidRDefault="00761F64" w:rsidP="00761F64">
      <w:pPr>
        <w:autoSpaceDE w:val="0"/>
        <w:autoSpaceDN w:val="0"/>
        <w:adjustRightInd w:val="0"/>
        <w:spacing w:after="120" w:line="240" w:lineRule="auto"/>
        <w:ind w:firstLine="720"/>
        <w:rPr>
          <w:rFonts w:ascii="Times New Roman" w:hAnsi="Times New Roman" w:cs="Times New Roman"/>
          <w:sz w:val="24"/>
          <w:szCs w:val="24"/>
        </w:rPr>
      </w:pPr>
      <w:r w:rsidRPr="00993E80">
        <w:rPr>
          <w:rFonts w:ascii="Times New Roman" w:hAnsi="Times New Roman" w:cs="Times New Roman"/>
          <w:sz w:val="24"/>
          <w:szCs w:val="24"/>
        </w:rPr>
        <w:t>2007</w:t>
      </w:r>
      <w:r w:rsidRPr="00993E80">
        <w:rPr>
          <w:rFonts w:ascii="Cambria Math" w:hAnsi="Cambria Math" w:cs="Cambria Math"/>
          <w:sz w:val="24"/>
          <w:szCs w:val="24"/>
        </w:rPr>
        <w:t>‐</w:t>
      </w:r>
      <w:r>
        <w:rPr>
          <w:rFonts w:ascii="Times New Roman" w:hAnsi="Times New Roman" w:cs="Times New Roman"/>
          <w:sz w:val="24"/>
          <w:szCs w:val="24"/>
        </w:rPr>
        <w:t>2009:</w:t>
      </w:r>
      <w:r w:rsidRPr="00993E80">
        <w:rPr>
          <w:rFonts w:ascii="Times New Roman" w:hAnsi="Times New Roman" w:cs="Times New Roman"/>
          <w:sz w:val="24"/>
          <w:szCs w:val="24"/>
        </w:rPr>
        <w:t xml:space="preserve"> </w:t>
      </w:r>
      <w:r w:rsidR="0032289E">
        <w:rPr>
          <w:rFonts w:ascii="Times New Roman" w:hAnsi="Times New Roman" w:cs="Times New Roman"/>
          <w:sz w:val="24"/>
          <w:szCs w:val="24"/>
        </w:rPr>
        <w:tab/>
      </w:r>
      <w:r w:rsidR="0032289E">
        <w:rPr>
          <w:rFonts w:ascii="Times New Roman" w:hAnsi="Times New Roman" w:cs="Times New Roman"/>
          <w:sz w:val="24"/>
          <w:szCs w:val="24"/>
        </w:rPr>
        <w:tab/>
      </w:r>
      <w:r>
        <w:rPr>
          <w:rFonts w:ascii="Times New Roman" w:hAnsi="Times New Roman" w:cs="Times New Roman"/>
          <w:sz w:val="24"/>
          <w:szCs w:val="24"/>
          <w:u w:val="single"/>
        </w:rPr>
        <w:t>55.6%</w:t>
      </w:r>
      <w:r w:rsidRPr="00993E80">
        <w:rPr>
          <w:rFonts w:ascii="Times New Roman" w:hAnsi="Times New Roman" w:cs="Times New Roman"/>
          <w:sz w:val="24"/>
          <w:szCs w:val="24"/>
        </w:rPr>
        <w:t xml:space="preserve"> (ACS)</w:t>
      </w:r>
    </w:p>
    <w:p w:rsidR="00761F64" w:rsidRPr="00993E80" w:rsidRDefault="00761F64" w:rsidP="00761F64">
      <w:pPr>
        <w:autoSpaceDE w:val="0"/>
        <w:autoSpaceDN w:val="0"/>
        <w:adjustRightInd w:val="0"/>
        <w:spacing w:after="120" w:line="240" w:lineRule="auto"/>
        <w:ind w:firstLine="720"/>
        <w:rPr>
          <w:rFonts w:ascii="Times New Roman" w:hAnsi="Times New Roman" w:cs="Times New Roman"/>
          <w:sz w:val="24"/>
          <w:szCs w:val="24"/>
        </w:rPr>
      </w:pPr>
      <w:r>
        <w:rPr>
          <w:rFonts w:ascii="Times New Roman" w:hAnsi="Times New Roman" w:cs="Times New Roman"/>
          <w:sz w:val="24"/>
          <w:szCs w:val="24"/>
        </w:rPr>
        <w:t>2010</w:t>
      </w:r>
      <w:r w:rsidR="0032289E">
        <w:rPr>
          <w:rFonts w:ascii="Times New Roman" w:hAnsi="Times New Roman" w:cs="Times New Roman"/>
          <w:sz w:val="24"/>
          <w:szCs w:val="24"/>
        </w:rPr>
        <w:t>:</w:t>
      </w:r>
      <w:r w:rsidR="0032289E">
        <w:rPr>
          <w:rFonts w:ascii="Times New Roman" w:hAnsi="Times New Roman" w:cs="Times New Roman"/>
          <w:sz w:val="24"/>
          <w:szCs w:val="24"/>
        </w:rPr>
        <w:tab/>
      </w:r>
      <w:r w:rsidR="0032289E">
        <w:rPr>
          <w:rFonts w:ascii="Times New Roman" w:hAnsi="Times New Roman" w:cs="Times New Roman"/>
          <w:sz w:val="24"/>
          <w:szCs w:val="24"/>
        </w:rPr>
        <w:tab/>
      </w:r>
      <w:r w:rsidR="0032289E">
        <w:rPr>
          <w:rFonts w:ascii="Times New Roman" w:hAnsi="Times New Roman" w:cs="Times New Roman"/>
          <w:sz w:val="24"/>
          <w:szCs w:val="24"/>
        </w:rPr>
        <w:tab/>
      </w:r>
      <w:r w:rsidR="0032289E" w:rsidRPr="000A4A28">
        <w:rPr>
          <w:rFonts w:ascii="Times New Roman" w:hAnsi="Times New Roman" w:cs="Times New Roman"/>
          <w:sz w:val="24"/>
          <w:szCs w:val="24"/>
          <w:u w:val="single"/>
        </w:rPr>
        <w:t>54.1%</w:t>
      </w:r>
      <w:r w:rsidR="0032289E">
        <w:rPr>
          <w:rFonts w:ascii="Times New Roman" w:hAnsi="Times New Roman" w:cs="Times New Roman"/>
          <w:sz w:val="24"/>
          <w:szCs w:val="24"/>
        </w:rPr>
        <w:t xml:space="preserve"> (Census)</w:t>
      </w:r>
      <w:r>
        <w:rPr>
          <w:rFonts w:ascii="Times New Roman" w:hAnsi="Times New Roman" w:cs="Times New Roman"/>
          <w:sz w:val="24"/>
          <w:szCs w:val="24"/>
        </w:rPr>
        <w:t xml:space="preserve"> </w:t>
      </w:r>
    </w:p>
    <w:p w:rsidR="00761F64" w:rsidRDefault="000A4A28" w:rsidP="00761F64">
      <w:pPr>
        <w:autoSpaceDE w:val="0"/>
        <w:autoSpaceDN w:val="0"/>
        <w:adjustRightInd w:val="0"/>
        <w:spacing w:after="120" w:line="240" w:lineRule="auto"/>
        <w:rPr>
          <w:rFonts w:ascii="Times New Roman" w:hAnsi="Times New Roman" w:cs="Times New Roman"/>
          <w:sz w:val="24"/>
          <w:szCs w:val="24"/>
        </w:rPr>
      </w:pPr>
      <w:r>
        <w:rPr>
          <w:rFonts w:ascii="Times New Roman" w:hAnsi="Times New Roman" w:cs="Times New Roman"/>
          <w:sz w:val="24"/>
          <w:szCs w:val="24"/>
        </w:rPr>
        <w:t>The h</w:t>
      </w:r>
      <w:r w:rsidR="00761F64">
        <w:rPr>
          <w:rFonts w:ascii="Times New Roman" w:hAnsi="Times New Roman" w:cs="Times New Roman"/>
          <w:sz w:val="24"/>
          <w:szCs w:val="24"/>
        </w:rPr>
        <w:t xml:space="preserve">ousing market </w:t>
      </w:r>
      <w:r>
        <w:rPr>
          <w:rFonts w:ascii="Times New Roman" w:hAnsi="Times New Roman" w:cs="Times New Roman"/>
          <w:sz w:val="24"/>
          <w:szCs w:val="24"/>
        </w:rPr>
        <w:t>has shown an uneven response to the collapse of the housing bubble</w:t>
      </w:r>
      <w:r w:rsidR="00761F64">
        <w:rPr>
          <w:rFonts w:ascii="Times New Roman" w:hAnsi="Times New Roman" w:cs="Times New Roman"/>
          <w:sz w:val="24"/>
          <w:szCs w:val="24"/>
        </w:rPr>
        <w:t>:</w:t>
      </w:r>
    </w:p>
    <w:p w:rsidR="00761F64" w:rsidRPr="00761F64" w:rsidRDefault="00761F64" w:rsidP="00761F64">
      <w:pPr>
        <w:pStyle w:val="ListParagraph"/>
        <w:numPr>
          <w:ilvl w:val="0"/>
          <w:numId w:val="2"/>
        </w:numPr>
        <w:autoSpaceDE w:val="0"/>
        <w:autoSpaceDN w:val="0"/>
        <w:adjustRightInd w:val="0"/>
        <w:spacing w:after="120" w:line="240" w:lineRule="auto"/>
        <w:rPr>
          <w:rFonts w:ascii="Times New Roman" w:hAnsi="Times New Roman" w:cs="Times New Roman"/>
          <w:sz w:val="24"/>
          <w:szCs w:val="24"/>
        </w:rPr>
      </w:pPr>
      <w:r w:rsidRPr="00761F64">
        <w:rPr>
          <w:rFonts w:ascii="Times New Roman" w:hAnsi="Times New Roman" w:cs="Times New Roman"/>
          <w:sz w:val="24"/>
          <w:szCs w:val="24"/>
        </w:rPr>
        <w:t>Between 2006 and 2009, the median home sale</w:t>
      </w:r>
      <w:r>
        <w:rPr>
          <w:rFonts w:ascii="Times New Roman" w:hAnsi="Times New Roman" w:cs="Times New Roman"/>
          <w:sz w:val="24"/>
          <w:szCs w:val="24"/>
        </w:rPr>
        <w:t xml:space="preserve"> </w:t>
      </w:r>
      <w:r w:rsidRPr="00761F64">
        <w:rPr>
          <w:rFonts w:ascii="Times New Roman" w:hAnsi="Times New Roman" w:cs="Times New Roman"/>
          <w:sz w:val="24"/>
          <w:szCs w:val="24"/>
        </w:rPr>
        <w:t>price rose from $99,900, peaking at $120,000 in</w:t>
      </w:r>
      <w:r>
        <w:rPr>
          <w:rFonts w:ascii="Times New Roman" w:hAnsi="Times New Roman" w:cs="Times New Roman"/>
          <w:sz w:val="24"/>
          <w:szCs w:val="24"/>
        </w:rPr>
        <w:t xml:space="preserve"> </w:t>
      </w:r>
      <w:r w:rsidRPr="00761F64">
        <w:rPr>
          <w:rFonts w:ascii="Times New Roman" w:hAnsi="Times New Roman" w:cs="Times New Roman"/>
          <w:sz w:val="24"/>
          <w:szCs w:val="24"/>
        </w:rPr>
        <w:t>2008 and then declining to $116,000 in 2009.</w:t>
      </w:r>
    </w:p>
    <w:p w:rsidR="00761F64" w:rsidRDefault="00761F64" w:rsidP="00761F64">
      <w:pPr>
        <w:pStyle w:val="ListParagraph"/>
        <w:numPr>
          <w:ilvl w:val="0"/>
          <w:numId w:val="2"/>
        </w:numPr>
        <w:autoSpaceDE w:val="0"/>
        <w:autoSpaceDN w:val="0"/>
        <w:adjustRightInd w:val="0"/>
        <w:spacing w:after="120" w:line="240" w:lineRule="auto"/>
        <w:rPr>
          <w:rFonts w:ascii="Times New Roman" w:hAnsi="Times New Roman" w:cs="Times New Roman"/>
          <w:sz w:val="24"/>
          <w:szCs w:val="24"/>
        </w:rPr>
      </w:pPr>
      <w:r w:rsidRPr="00761F64">
        <w:rPr>
          <w:rFonts w:ascii="Times New Roman" w:hAnsi="Times New Roman" w:cs="Times New Roman"/>
          <w:sz w:val="24"/>
          <w:szCs w:val="24"/>
        </w:rPr>
        <w:t>In 2000, 24.2% of homeowners spent 35</w:t>
      </w:r>
      <w:r w:rsidR="00D959AA">
        <w:rPr>
          <w:rFonts w:ascii="Times New Roman" w:hAnsi="Times New Roman" w:cs="Times New Roman"/>
          <w:sz w:val="24"/>
          <w:szCs w:val="24"/>
        </w:rPr>
        <w:t>percent</w:t>
      </w:r>
      <w:r w:rsidRPr="00761F64">
        <w:rPr>
          <w:rFonts w:ascii="Times New Roman" w:hAnsi="Times New Roman" w:cs="Times New Roman"/>
          <w:sz w:val="24"/>
          <w:szCs w:val="24"/>
        </w:rPr>
        <w:t xml:space="preserve"> or more</w:t>
      </w:r>
      <w:r>
        <w:rPr>
          <w:rFonts w:ascii="Times New Roman" w:hAnsi="Times New Roman" w:cs="Times New Roman"/>
          <w:sz w:val="24"/>
          <w:szCs w:val="24"/>
        </w:rPr>
        <w:t xml:space="preserve"> </w:t>
      </w:r>
      <w:r w:rsidRPr="00761F64">
        <w:rPr>
          <w:rFonts w:ascii="Times New Roman" w:hAnsi="Times New Roman" w:cs="Times New Roman"/>
          <w:sz w:val="24"/>
          <w:szCs w:val="24"/>
        </w:rPr>
        <w:t>of their income on housing. By 2007</w:t>
      </w:r>
      <w:r w:rsidRPr="00761F64">
        <w:rPr>
          <w:rFonts w:ascii="Cambria Math" w:hAnsi="Cambria Math" w:cs="Cambria Math"/>
          <w:sz w:val="24"/>
          <w:szCs w:val="24"/>
        </w:rPr>
        <w:t>‐</w:t>
      </w:r>
      <w:r w:rsidRPr="00761F64">
        <w:rPr>
          <w:rFonts w:ascii="Times New Roman" w:hAnsi="Times New Roman" w:cs="Times New Roman"/>
          <w:sz w:val="24"/>
          <w:szCs w:val="24"/>
        </w:rPr>
        <w:t xml:space="preserve">2009, </w:t>
      </w:r>
      <w:r w:rsidR="00552CCA">
        <w:rPr>
          <w:rFonts w:ascii="Times New Roman" w:hAnsi="Times New Roman" w:cs="Times New Roman"/>
          <w:sz w:val="24"/>
          <w:szCs w:val="24"/>
        </w:rPr>
        <w:t>32.4%</w:t>
      </w:r>
      <w:r w:rsidR="0020798D" w:rsidRPr="00761F64">
        <w:rPr>
          <w:rFonts w:ascii="Times New Roman" w:hAnsi="Times New Roman" w:cs="Times New Roman"/>
          <w:sz w:val="24"/>
          <w:szCs w:val="24"/>
        </w:rPr>
        <w:t xml:space="preserve"> of homeowners spent 35</w:t>
      </w:r>
      <w:r w:rsidR="00552CCA">
        <w:rPr>
          <w:rFonts w:ascii="Times New Roman" w:hAnsi="Times New Roman" w:cs="Times New Roman"/>
          <w:sz w:val="24"/>
          <w:szCs w:val="24"/>
        </w:rPr>
        <w:t xml:space="preserve"> </w:t>
      </w:r>
      <w:r w:rsidR="0020798D">
        <w:rPr>
          <w:rFonts w:ascii="Times New Roman" w:hAnsi="Times New Roman" w:cs="Times New Roman"/>
          <w:sz w:val="24"/>
          <w:szCs w:val="24"/>
        </w:rPr>
        <w:t>percent</w:t>
      </w:r>
      <w:r w:rsidR="0020798D" w:rsidRPr="00761F64">
        <w:rPr>
          <w:rFonts w:ascii="Times New Roman" w:hAnsi="Times New Roman" w:cs="Times New Roman"/>
          <w:sz w:val="24"/>
          <w:szCs w:val="24"/>
        </w:rPr>
        <w:t xml:space="preserve"> or more</w:t>
      </w:r>
      <w:r w:rsidR="0020798D">
        <w:rPr>
          <w:rFonts w:ascii="Times New Roman" w:hAnsi="Times New Roman" w:cs="Times New Roman"/>
          <w:sz w:val="24"/>
          <w:szCs w:val="24"/>
        </w:rPr>
        <w:t xml:space="preserve"> </w:t>
      </w:r>
      <w:r w:rsidR="0020798D" w:rsidRPr="00761F64">
        <w:rPr>
          <w:rFonts w:ascii="Times New Roman" w:hAnsi="Times New Roman" w:cs="Times New Roman"/>
          <w:sz w:val="24"/>
          <w:szCs w:val="24"/>
        </w:rPr>
        <w:t>of their income on housing</w:t>
      </w:r>
      <w:r w:rsidR="0020798D">
        <w:rPr>
          <w:rFonts w:ascii="Times New Roman" w:hAnsi="Times New Roman" w:cs="Times New Roman"/>
          <w:sz w:val="24"/>
          <w:szCs w:val="24"/>
        </w:rPr>
        <w:t xml:space="preserve">. </w:t>
      </w:r>
      <w:r w:rsidRPr="00761F64">
        <w:rPr>
          <w:rFonts w:ascii="Times New Roman" w:hAnsi="Times New Roman" w:cs="Times New Roman"/>
          <w:sz w:val="24"/>
          <w:szCs w:val="24"/>
        </w:rPr>
        <w:t>(Census / ACS)</w:t>
      </w:r>
    </w:p>
    <w:p w:rsidR="00D959AA" w:rsidRDefault="00D959AA" w:rsidP="00761F64">
      <w:pPr>
        <w:autoSpaceDE w:val="0"/>
        <w:autoSpaceDN w:val="0"/>
        <w:adjustRightInd w:val="0"/>
        <w:spacing w:after="120" w:line="240" w:lineRule="auto"/>
        <w:rPr>
          <w:rFonts w:ascii="Times New Roman" w:hAnsi="Times New Roman" w:cs="Times New Roman"/>
          <w:b/>
          <w:sz w:val="24"/>
          <w:szCs w:val="24"/>
        </w:rPr>
      </w:pPr>
    </w:p>
    <w:p w:rsidR="004070E6" w:rsidRDefault="004070E6" w:rsidP="00761F64">
      <w:pPr>
        <w:autoSpaceDE w:val="0"/>
        <w:autoSpaceDN w:val="0"/>
        <w:adjustRightInd w:val="0"/>
        <w:spacing w:after="120" w:line="240" w:lineRule="auto"/>
        <w:rPr>
          <w:rFonts w:ascii="Times New Roman" w:hAnsi="Times New Roman" w:cs="Times New Roman"/>
          <w:b/>
          <w:sz w:val="24"/>
          <w:szCs w:val="24"/>
        </w:rPr>
      </w:pPr>
    </w:p>
    <w:p w:rsidR="004070E6" w:rsidRDefault="004070E6" w:rsidP="00761F64">
      <w:pPr>
        <w:autoSpaceDE w:val="0"/>
        <w:autoSpaceDN w:val="0"/>
        <w:adjustRightInd w:val="0"/>
        <w:spacing w:after="120" w:line="240" w:lineRule="auto"/>
        <w:rPr>
          <w:rFonts w:ascii="Times New Roman" w:hAnsi="Times New Roman" w:cs="Times New Roman"/>
          <w:b/>
          <w:sz w:val="24"/>
          <w:szCs w:val="24"/>
        </w:rPr>
      </w:pPr>
    </w:p>
    <w:p w:rsidR="00761F64" w:rsidRDefault="00761F64" w:rsidP="00761F64">
      <w:pPr>
        <w:autoSpaceDE w:val="0"/>
        <w:autoSpaceDN w:val="0"/>
        <w:adjustRightInd w:val="0"/>
        <w:spacing w:after="120" w:line="240" w:lineRule="auto"/>
        <w:rPr>
          <w:rFonts w:ascii="Times New Roman" w:hAnsi="Times New Roman" w:cs="Times New Roman"/>
          <w:sz w:val="24"/>
          <w:szCs w:val="24"/>
        </w:rPr>
      </w:pPr>
      <w:r w:rsidRPr="00BE2480">
        <w:rPr>
          <w:rFonts w:ascii="Times New Roman" w:hAnsi="Times New Roman" w:cs="Times New Roman"/>
          <w:b/>
          <w:sz w:val="24"/>
          <w:szCs w:val="24"/>
        </w:rPr>
        <w:t>Vacant Land</w:t>
      </w:r>
      <w:r>
        <w:rPr>
          <w:rFonts w:ascii="Times New Roman" w:hAnsi="Times New Roman" w:cs="Times New Roman"/>
          <w:sz w:val="24"/>
          <w:szCs w:val="24"/>
        </w:rPr>
        <w:t xml:space="preserve">: </w:t>
      </w:r>
    </w:p>
    <w:p w:rsidR="00761F64" w:rsidRDefault="00D959AA" w:rsidP="00761F64">
      <w:pPr>
        <w:autoSpaceDE w:val="0"/>
        <w:autoSpaceDN w:val="0"/>
        <w:adjustRightInd w:val="0"/>
        <w:spacing w:after="120" w:line="240" w:lineRule="auto"/>
        <w:rPr>
          <w:rFonts w:ascii="Times New Roman" w:hAnsi="Times New Roman" w:cs="Times New Roman"/>
          <w:sz w:val="24"/>
          <w:szCs w:val="24"/>
        </w:rPr>
      </w:pPr>
      <w:r>
        <w:rPr>
          <w:rFonts w:ascii="Times New Roman" w:hAnsi="Times New Roman" w:cs="Times New Roman"/>
          <w:sz w:val="24"/>
          <w:szCs w:val="24"/>
        </w:rPr>
        <w:t>The m</w:t>
      </w:r>
      <w:r w:rsidR="00761F64">
        <w:rPr>
          <w:rFonts w:ascii="Times New Roman" w:hAnsi="Times New Roman" w:cs="Times New Roman"/>
          <w:sz w:val="24"/>
          <w:szCs w:val="24"/>
        </w:rPr>
        <w:t xml:space="preserve">ost recent data </w:t>
      </w:r>
      <w:r w:rsidR="00BE2480">
        <w:rPr>
          <w:rFonts w:ascii="Times New Roman" w:hAnsi="Times New Roman" w:cs="Times New Roman"/>
          <w:sz w:val="24"/>
          <w:szCs w:val="24"/>
        </w:rPr>
        <w:t xml:space="preserve">(2011) </w:t>
      </w:r>
      <w:r w:rsidR="00761F64">
        <w:rPr>
          <w:rFonts w:ascii="Times New Roman" w:hAnsi="Times New Roman" w:cs="Times New Roman"/>
          <w:sz w:val="24"/>
          <w:szCs w:val="24"/>
        </w:rPr>
        <w:t xml:space="preserve">from the Philadelphia Water Department </w:t>
      </w:r>
      <w:r w:rsidR="000A4A28">
        <w:rPr>
          <w:rFonts w:ascii="Times New Roman" w:hAnsi="Times New Roman" w:cs="Times New Roman"/>
          <w:sz w:val="24"/>
          <w:szCs w:val="24"/>
        </w:rPr>
        <w:t xml:space="preserve">(which supplements is turnoffs with visual verification of vacancy) </w:t>
      </w:r>
      <w:r w:rsidR="00761F64">
        <w:rPr>
          <w:rFonts w:ascii="Times New Roman" w:hAnsi="Times New Roman" w:cs="Times New Roman"/>
          <w:sz w:val="24"/>
          <w:szCs w:val="24"/>
        </w:rPr>
        <w:t>indicates almost 40,000 vacant lots; this is consistent with earlier estimates from the same source, from a LISC study of abandonment</w:t>
      </w:r>
      <w:r w:rsidR="00BE2480">
        <w:rPr>
          <w:rFonts w:ascii="Times New Roman" w:hAnsi="Times New Roman" w:cs="Times New Roman"/>
          <w:sz w:val="24"/>
          <w:szCs w:val="24"/>
        </w:rPr>
        <w:t xml:space="preserve">, and from the </w:t>
      </w:r>
      <w:proofErr w:type="spellStart"/>
      <w:r w:rsidR="00BE2480">
        <w:rPr>
          <w:rFonts w:ascii="Times New Roman" w:hAnsi="Times New Roman" w:cs="Times New Roman"/>
          <w:sz w:val="24"/>
          <w:szCs w:val="24"/>
        </w:rPr>
        <w:t>PlanPhilly</w:t>
      </w:r>
      <w:proofErr w:type="spellEnd"/>
      <w:r w:rsidR="00BE2480">
        <w:rPr>
          <w:rFonts w:ascii="Times New Roman" w:hAnsi="Times New Roman" w:cs="Times New Roman"/>
          <w:sz w:val="24"/>
          <w:szCs w:val="24"/>
        </w:rPr>
        <w:t>/Inquirer “Abandoned Philadelphia” project</w:t>
      </w:r>
      <w:r w:rsidR="004070E6">
        <w:rPr>
          <w:rFonts w:ascii="Times New Roman" w:hAnsi="Times New Roman" w:cs="Times New Roman"/>
          <w:sz w:val="24"/>
          <w:szCs w:val="24"/>
        </w:rPr>
        <w:t>.</w:t>
      </w:r>
    </w:p>
    <w:p w:rsidR="00BE2480" w:rsidRDefault="00BE2480" w:rsidP="00761F64">
      <w:pPr>
        <w:autoSpaceDE w:val="0"/>
        <w:autoSpaceDN w:val="0"/>
        <w:adjustRightInd w:val="0"/>
        <w:spacing w:after="120" w:line="240" w:lineRule="auto"/>
        <w:rPr>
          <w:rFonts w:ascii="Times New Roman" w:hAnsi="Times New Roman" w:cs="Times New Roman"/>
          <w:sz w:val="24"/>
          <w:szCs w:val="24"/>
        </w:rPr>
      </w:pPr>
    </w:p>
    <w:p w:rsidR="00BE2480" w:rsidRDefault="00BE2480" w:rsidP="004070E6">
      <w:pPr>
        <w:autoSpaceDE w:val="0"/>
        <w:autoSpaceDN w:val="0"/>
        <w:adjustRightInd w:val="0"/>
        <w:spacing w:after="120" w:line="240" w:lineRule="auto"/>
        <w:rPr>
          <w:rFonts w:ascii="Times New Roman" w:hAnsi="Times New Roman" w:cs="Times New Roman"/>
          <w:sz w:val="24"/>
          <w:szCs w:val="24"/>
        </w:rPr>
      </w:pPr>
      <w:r w:rsidRPr="00BE2480">
        <w:rPr>
          <w:rFonts w:ascii="Times New Roman" w:hAnsi="Times New Roman" w:cs="Times New Roman"/>
          <w:b/>
          <w:sz w:val="24"/>
          <w:szCs w:val="24"/>
        </w:rPr>
        <w:t>Empty Buildings</w:t>
      </w:r>
      <w:r>
        <w:rPr>
          <w:rFonts w:ascii="Times New Roman" w:hAnsi="Times New Roman" w:cs="Times New Roman"/>
          <w:sz w:val="24"/>
          <w:szCs w:val="24"/>
        </w:rPr>
        <w:t xml:space="preserve">: </w:t>
      </w:r>
    </w:p>
    <w:p w:rsidR="00BE2480" w:rsidRDefault="007C4257" w:rsidP="004070E6">
      <w:pPr>
        <w:autoSpaceDE w:val="0"/>
        <w:autoSpaceDN w:val="0"/>
        <w:adjustRightInd w:val="0"/>
        <w:spacing w:after="120" w:line="240" w:lineRule="auto"/>
        <w:rPr>
          <w:rFonts w:ascii="Times New Roman" w:hAnsi="Times New Roman" w:cs="Times New Roman"/>
          <w:sz w:val="24"/>
          <w:szCs w:val="24"/>
        </w:rPr>
      </w:pPr>
      <w:r>
        <w:rPr>
          <w:rFonts w:ascii="Times New Roman" w:hAnsi="Times New Roman" w:cs="Times New Roman"/>
          <w:sz w:val="24"/>
          <w:szCs w:val="24"/>
        </w:rPr>
        <w:t>The s</w:t>
      </w:r>
      <w:r w:rsidR="00BE2480">
        <w:rPr>
          <w:rFonts w:ascii="Times New Roman" w:hAnsi="Times New Roman" w:cs="Times New Roman"/>
          <w:sz w:val="24"/>
          <w:szCs w:val="24"/>
        </w:rPr>
        <w:t xml:space="preserve">ame Water Department data indicates that the overwhelming percentage of empty buildings were residential (91.5%). This is consistent with, but a somewhat larger estimate than offered by LISC and </w:t>
      </w:r>
      <w:proofErr w:type="spellStart"/>
      <w:r w:rsidR="00BE2480">
        <w:rPr>
          <w:rFonts w:ascii="Times New Roman" w:hAnsi="Times New Roman" w:cs="Times New Roman"/>
          <w:sz w:val="24"/>
          <w:szCs w:val="24"/>
        </w:rPr>
        <w:t>PlanPhilly</w:t>
      </w:r>
      <w:proofErr w:type="spellEnd"/>
      <w:r w:rsidR="00BE2480">
        <w:rPr>
          <w:rFonts w:ascii="Times New Roman" w:hAnsi="Times New Roman" w:cs="Times New Roman"/>
          <w:sz w:val="24"/>
          <w:szCs w:val="24"/>
        </w:rPr>
        <w:t>, both of which used data from 2010.</w:t>
      </w:r>
    </w:p>
    <w:p w:rsidR="00BE2480" w:rsidRPr="00761F64" w:rsidRDefault="00BE2480" w:rsidP="004070E6">
      <w:pPr>
        <w:autoSpaceDE w:val="0"/>
        <w:autoSpaceDN w:val="0"/>
        <w:adjustRightInd w:val="0"/>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In 2010, Licenses and Inspections recorded </w:t>
      </w:r>
      <w:r w:rsidR="005410CE">
        <w:rPr>
          <w:rFonts w:ascii="Times New Roman" w:hAnsi="Times New Roman" w:cs="Times New Roman"/>
          <w:sz w:val="24"/>
          <w:szCs w:val="24"/>
        </w:rPr>
        <w:t>1,470 “clean and seal” procedures and 479 demolitions. They have 8 emergency building inspectors.</w:t>
      </w:r>
      <w:r w:rsidR="007C4257">
        <w:rPr>
          <w:rFonts w:ascii="Times New Roman" w:hAnsi="Times New Roman" w:cs="Times New Roman"/>
          <w:sz w:val="24"/>
          <w:szCs w:val="24"/>
        </w:rPr>
        <w:t xml:space="preserve"> A normal row house demolition costs between $10,000 and $15,000. The vacancy estimates for residential real estate range between 20,000 and 40,000; there is some lack of consistency between housing units and residential structures, but it is apparent that the demolition process does not address the volume of empty properties in the city.</w:t>
      </w:r>
    </w:p>
    <w:p w:rsidR="00BE2480" w:rsidRDefault="00BE2480" w:rsidP="004070E6">
      <w:pPr>
        <w:spacing w:after="120" w:line="240" w:lineRule="auto"/>
        <w:rPr>
          <w:rFonts w:ascii="Times New Roman" w:hAnsi="Times New Roman" w:cs="Times New Roman"/>
          <w:sz w:val="24"/>
          <w:szCs w:val="24"/>
        </w:rPr>
      </w:pPr>
      <w:r>
        <w:rPr>
          <w:rFonts w:ascii="Times New Roman" w:hAnsi="Times New Roman" w:cs="Times New Roman"/>
          <w:b/>
          <w:sz w:val="24"/>
          <w:szCs w:val="24"/>
        </w:rPr>
        <w:t xml:space="preserve">Tax </w:t>
      </w:r>
      <w:r w:rsidRPr="00BE2480">
        <w:rPr>
          <w:rFonts w:ascii="Times New Roman" w:hAnsi="Times New Roman" w:cs="Times New Roman"/>
          <w:b/>
          <w:sz w:val="24"/>
          <w:szCs w:val="24"/>
        </w:rPr>
        <w:t>Delinquency</w:t>
      </w:r>
      <w:r>
        <w:rPr>
          <w:rFonts w:ascii="Times New Roman" w:hAnsi="Times New Roman" w:cs="Times New Roman"/>
          <w:sz w:val="24"/>
          <w:szCs w:val="24"/>
        </w:rPr>
        <w:t>:</w:t>
      </w:r>
    </w:p>
    <w:p w:rsidR="00BE2480" w:rsidRDefault="005410CE" w:rsidP="004070E6">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According to </w:t>
      </w:r>
      <w:proofErr w:type="spellStart"/>
      <w:r>
        <w:rPr>
          <w:rFonts w:ascii="Times New Roman" w:hAnsi="Times New Roman" w:cs="Times New Roman"/>
          <w:sz w:val="24"/>
          <w:szCs w:val="24"/>
        </w:rPr>
        <w:t>PlanPhilly</w:t>
      </w:r>
      <w:proofErr w:type="spellEnd"/>
      <w:r>
        <w:rPr>
          <w:rFonts w:ascii="Times New Roman" w:hAnsi="Times New Roman" w:cs="Times New Roman"/>
          <w:sz w:val="24"/>
          <w:szCs w:val="24"/>
        </w:rPr>
        <w:t xml:space="preserve"> (2011) there are between 110,000 and 111,000 tax delinquent properties in Philadelphia, about 19% of all parcels in the city (roughly 590,000). The unpaid tax bill is $472 million; the cumulative delinquency period is 720,000 years (average is 6.5 years behind, and the</w:t>
      </w:r>
      <w:r w:rsidR="00D959AA">
        <w:rPr>
          <w:rFonts w:ascii="Times New Roman" w:hAnsi="Times New Roman" w:cs="Times New Roman"/>
          <w:sz w:val="24"/>
          <w:szCs w:val="24"/>
        </w:rPr>
        <w:t xml:space="preserve"> average</w:t>
      </w:r>
      <w:r>
        <w:rPr>
          <w:rFonts w:ascii="Times New Roman" w:hAnsi="Times New Roman" w:cs="Times New Roman"/>
          <w:sz w:val="24"/>
          <w:szCs w:val="24"/>
        </w:rPr>
        <w:t xml:space="preserve"> amount owed (taxes, interest and penalties) is $4,249.</w:t>
      </w:r>
    </w:p>
    <w:p w:rsidR="005410CE" w:rsidRDefault="00993E80" w:rsidP="004070E6">
      <w:pPr>
        <w:spacing w:after="120" w:line="240" w:lineRule="auto"/>
        <w:rPr>
          <w:rFonts w:ascii="Times New Roman" w:hAnsi="Times New Roman" w:cs="Times New Roman"/>
          <w:sz w:val="24"/>
          <w:szCs w:val="24"/>
        </w:rPr>
      </w:pPr>
      <w:r w:rsidRPr="00BE2480">
        <w:rPr>
          <w:rFonts w:ascii="Times New Roman" w:hAnsi="Times New Roman" w:cs="Times New Roman"/>
          <w:b/>
          <w:sz w:val="24"/>
          <w:szCs w:val="24"/>
        </w:rPr>
        <w:t>Foreclosure</w:t>
      </w:r>
      <w:r w:rsidR="00BE2480">
        <w:rPr>
          <w:rFonts w:ascii="Times New Roman" w:hAnsi="Times New Roman" w:cs="Times New Roman"/>
          <w:sz w:val="24"/>
          <w:szCs w:val="24"/>
        </w:rPr>
        <w:t>:</w:t>
      </w:r>
      <w:r w:rsidRPr="00993E80">
        <w:rPr>
          <w:rFonts w:ascii="Times New Roman" w:hAnsi="Times New Roman" w:cs="Times New Roman"/>
          <w:sz w:val="24"/>
          <w:szCs w:val="24"/>
        </w:rPr>
        <w:t xml:space="preserve"> </w:t>
      </w:r>
    </w:p>
    <w:p w:rsidR="00A77772" w:rsidRDefault="005410CE" w:rsidP="004070E6">
      <w:pPr>
        <w:spacing w:after="120" w:line="240" w:lineRule="auto"/>
        <w:rPr>
          <w:rFonts w:ascii="Times New Roman" w:hAnsi="Times New Roman" w:cs="Times New Roman"/>
          <w:sz w:val="24"/>
          <w:szCs w:val="24"/>
        </w:rPr>
      </w:pPr>
      <w:r>
        <w:rPr>
          <w:rFonts w:ascii="Times New Roman" w:hAnsi="Times New Roman" w:cs="Times New Roman"/>
          <w:sz w:val="24"/>
          <w:szCs w:val="24"/>
        </w:rPr>
        <w:t>There are significant variations in the amount of foreclosures</w:t>
      </w:r>
      <w:r w:rsidR="003E6623">
        <w:rPr>
          <w:rFonts w:ascii="Times New Roman" w:hAnsi="Times New Roman" w:cs="Times New Roman"/>
          <w:sz w:val="24"/>
          <w:szCs w:val="24"/>
        </w:rPr>
        <w:t xml:space="preserve"> that are derived from different sources</w:t>
      </w:r>
      <w:r>
        <w:rPr>
          <w:rFonts w:ascii="Times New Roman" w:hAnsi="Times New Roman" w:cs="Times New Roman"/>
          <w:sz w:val="24"/>
          <w:szCs w:val="24"/>
        </w:rPr>
        <w:t xml:space="preserve">. </w:t>
      </w:r>
      <w:r w:rsidR="003E6623">
        <w:rPr>
          <w:rFonts w:ascii="Times New Roman" w:hAnsi="Times New Roman" w:cs="Times New Roman"/>
          <w:sz w:val="24"/>
          <w:szCs w:val="24"/>
        </w:rPr>
        <w:t xml:space="preserve">Because the foreclosure process itself generates a variety of “filings”, </w:t>
      </w:r>
      <w:r w:rsidR="007C490F">
        <w:rPr>
          <w:rFonts w:ascii="Times New Roman" w:hAnsi="Times New Roman" w:cs="Times New Roman"/>
          <w:sz w:val="24"/>
          <w:szCs w:val="24"/>
        </w:rPr>
        <w:t xml:space="preserve">there can be a wide variety of </w:t>
      </w:r>
      <w:r w:rsidR="003E6623">
        <w:rPr>
          <w:rFonts w:ascii="Times New Roman" w:hAnsi="Times New Roman" w:cs="Times New Roman"/>
          <w:sz w:val="24"/>
          <w:szCs w:val="24"/>
        </w:rPr>
        <w:t xml:space="preserve">estimated foreclosure rates. </w:t>
      </w:r>
      <w:r>
        <w:rPr>
          <w:rFonts w:ascii="Times New Roman" w:hAnsi="Times New Roman" w:cs="Times New Roman"/>
          <w:sz w:val="24"/>
          <w:szCs w:val="24"/>
        </w:rPr>
        <w:t xml:space="preserve">The most commonly </w:t>
      </w:r>
      <w:r w:rsidR="007C490F">
        <w:rPr>
          <w:rFonts w:ascii="Times New Roman" w:hAnsi="Times New Roman" w:cs="Times New Roman"/>
          <w:sz w:val="24"/>
          <w:szCs w:val="24"/>
        </w:rPr>
        <w:t>cited source</w:t>
      </w:r>
      <w:r w:rsidR="003E6623">
        <w:rPr>
          <w:rFonts w:ascii="Times New Roman" w:hAnsi="Times New Roman" w:cs="Times New Roman"/>
          <w:sz w:val="24"/>
          <w:szCs w:val="24"/>
        </w:rPr>
        <w:t xml:space="preserve"> used in estimating local foreclosures </w:t>
      </w:r>
      <w:r>
        <w:rPr>
          <w:rFonts w:ascii="Times New Roman" w:hAnsi="Times New Roman" w:cs="Times New Roman"/>
          <w:sz w:val="24"/>
          <w:szCs w:val="24"/>
        </w:rPr>
        <w:t>is obtained by “</w:t>
      </w:r>
      <w:r w:rsidR="003E6623">
        <w:rPr>
          <w:rFonts w:ascii="Times New Roman" w:hAnsi="Times New Roman" w:cs="Times New Roman"/>
          <w:sz w:val="24"/>
          <w:szCs w:val="24"/>
        </w:rPr>
        <w:t>scraping</w:t>
      </w:r>
      <w:r>
        <w:rPr>
          <w:rFonts w:ascii="Times New Roman" w:hAnsi="Times New Roman" w:cs="Times New Roman"/>
          <w:sz w:val="24"/>
          <w:szCs w:val="24"/>
        </w:rPr>
        <w:t xml:space="preserve">” county property transactions for any mentions of the term “foreclosure”. </w:t>
      </w:r>
      <w:r w:rsidR="007C490F">
        <w:rPr>
          <w:rFonts w:ascii="Times New Roman" w:hAnsi="Times New Roman" w:cs="Times New Roman"/>
          <w:sz w:val="24"/>
          <w:szCs w:val="24"/>
        </w:rPr>
        <w:t xml:space="preserve">While some jurisdictions have relatively transparent records of foreclosures, and differentiate between initiation, revisions, and final dispositions, most do not. </w:t>
      </w:r>
    </w:p>
    <w:p w:rsidR="00D1750F" w:rsidRPr="00D1750F" w:rsidRDefault="00D1750F" w:rsidP="00993E80">
      <w:pPr>
        <w:spacing w:after="120"/>
        <w:rPr>
          <w:rFonts w:ascii="Times New Roman" w:hAnsi="Times New Roman" w:cs="Times New Roman"/>
          <w:sz w:val="24"/>
          <w:szCs w:val="24"/>
          <w:u w:val="single"/>
        </w:rPr>
      </w:pPr>
      <w:r w:rsidRPr="00D1750F">
        <w:rPr>
          <w:rFonts w:ascii="Times New Roman" w:hAnsi="Times New Roman" w:cs="Times New Roman"/>
          <w:sz w:val="24"/>
          <w:szCs w:val="24"/>
          <w:u w:val="single"/>
        </w:rPr>
        <w:t>Forecl</w:t>
      </w:r>
      <w:r>
        <w:rPr>
          <w:rFonts w:ascii="Times New Roman" w:hAnsi="Times New Roman" w:cs="Times New Roman"/>
          <w:sz w:val="24"/>
          <w:szCs w:val="24"/>
          <w:u w:val="single"/>
        </w:rPr>
        <w:t xml:space="preserve">osure Estimates for </w:t>
      </w:r>
      <w:r w:rsidR="003F2312">
        <w:rPr>
          <w:rFonts w:ascii="Times New Roman" w:hAnsi="Times New Roman" w:cs="Times New Roman"/>
          <w:sz w:val="24"/>
          <w:szCs w:val="24"/>
          <w:u w:val="single"/>
        </w:rPr>
        <w:t>Philadelphia</w:t>
      </w:r>
    </w:p>
    <w:p w:rsidR="00FC077B" w:rsidRPr="00D1750F" w:rsidRDefault="00FC077B" w:rsidP="004070E6">
      <w:pPr>
        <w:pStyle w:val="ListParagraph"/>
        <w:numPr>
          <w:ilvl w:val="0"/>
          <w:numId w:val="4"/>
        </w:numPr>
        <w:spacing w:after="120" w:line="240" w:lineRule="auto"/>
        <w:rPr>
          <w:rFonts w:ascii="Times New Roman" w:eastAsia="Times New Roman" w:hAnsi="Times New Roman" w:cs="Times New Roman"/>
          <w:color w:val="000000"/>
          <w:sz w:val="24"/>
          <w:szCs w:val="24"/>
        </w:rPr>
      </w:pPr>
      <w:r w:rsidRPr="00D1750F">
        <w:rPr>
          <w:rFonts w:ascii="Times New Roman" w:hAnsi="Times New Roman" w:cs="Times New Roman"/>
          <w:sz w:val="24"/>
          <w:szCs w:val="24"/>
        </w:rPr>
        <w:t>HUD’s NSP estimated foreclosure starts</w:t>
      </w:r>
      <w:r w:rsidR="00D1750F" w:rsidRPr="00D1750F">
        <w:rPr>
          <w:rFonts w:ascii="Times New Roman" w:hAnsi="Times New Roman" w:cs="Times New Roman"/>
          <w:sz w:val="24"/>
          <w:szCs w:val="24"/>
        </w:rPr>
        <w:t xml:space="preserve"> in Philadelphia</w:t>
      </w:r>
      <w:r w:rsidRPr="00D1750F">
        <w:rPr>
          <w:rFonts w:ascii="Times New Roman" w:hAnsi="Times New Roman" w:cs="Times New Roman"/>
          <w:sz w:val="24"/>
          <w:szCs w:val="24"/>
        </w:rPr>
        <w:t xml:space="preserve"> in 2008</w:t>
      </w:r>
      <w:r w:rsidR="00D1750F" w:rsidRPr="00D1750F">
        <w:rPr>
          <w:rFonts w:ascii="Times New Roman" w:hAnsi="Times New Roman" w:cs="Times New Roman"/>
          <w:sz w:val="24"/>
          <w:szCs w:val="24"/>
        </w:rPr>
        <w:t xml:space="preserve">: </w:t>
      </w:r>
      <w:r w:rsidR="00850CC1" w:rsidRPr="00D1750F">
        <w:rPr>
          <w:rFonts w:ascii="Times New Roman" w:eastAsia="Times New Roman" w:hAnsi="Times New Roman" w:cs="Times New Roman"/>
          <w:color w:val="000000"/>
          <w:sz w:val="24"/>
          <w:szCs w:val="24"/>
        </w:rPr>
        <w:t>14,436</w:t>
      </w:r>
      <w:r w:rsidR="00D1750F" w:rsidRPr="00D1750F">
        <w:rPr>
          <w:rFonts w:ascii="Times New Roman" w:eastAsia="Times New Roman" w:hAnsi="Times New Roman" w:cs="Times New Roman"/>
          <w:color w:val="000000"/>
          <w:sz w:val="24"/>
          <w:szCs w:val="24"/>
        </w:rPr>
        <w:t xml:space="preserve"> (high estimate probably due to the level of subprime mortgage loans in the city</w:t>
      </w:r>
      <w:r w:rsidR="00D959AA">
        <w:rPr>
          <w:rFonts w:ascii="Times New Roman" w:eastAsia="Times New Roman" w:hAnsi="Times New Roman" w:cs="Times New Roman"/>
          <w:color w:val="000000"/>
          <w:sz w:val="24"/>
          <w:szCs w:val="24"/>
        </w:rPr>
        <w:t>)</w:t>
      </w:r>
      <w:r w:rsidR="00D1750F" w:rsidRPr="00D1750F">
        <w:rPr>
          <w:rFonts w:ascii="Times New Roman" w:eastAsia="Times New Roman" w:hAnsi="Times New Roman" w:cs="Times New Roman"/>
          <w:color w:val="000000"/>
          <w:sz w:val="24"/>
          <w:szCs w:val="24"/>
        </w:rPr>
        <w:t>.</w:t>
      </w:r>
      <w:r w:rsidR="00EC5DB6" w:rsidRPr="00D1750F">
        <w:rPr>
          <w:rFonts w:ascii="Times New Roman" w:eastAsia="Times New Roman" w:hAnsi="Times New Roman" w:cs="Times New Roman"/>
          <w:color w:val="000000"/>
          <w:sz w:val="24"/>
          <w:szCs w:val="24"/>
        </w:rPr>
        <w:t xml:space="preserve"> </w:t>
      </w:r>
    </w:p>
    <w:p w:rsidR="00A94EB5" w:rsidRPr="00A94EB5" w:rsidRDefault="00F80FE5" w:rsidP="00A94EB5">
      <w:pPr>
        <w:pStyle w:val="ListParagraph"/>
        <w:numPr>
          <w:ilvl w:val="0"/>
          <w:numId w:val="4"/>
        </w:numPr>
        <w:autoSpaceDE w:val="0"/>
        <w:autoSpaceDN w:val="0"/>
        <w:adjustRightInd w:val="0"/>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most recent tabulation of the city’s foreclosure was initiated during an assessment of the Foreclosure Diversion Program, which tracked the flow of foreclosure filings from first initiation to final disposition. When the </w:t>
      </w:r>
      <w:r w:rsidR="003F2312">
        <w:rPr>
          <w:rFonts w:ascii="Times New Roman" w:eastAsia="Times New Roman" w:hAnsi="Times New Roman" w:cs="Times New Roman"/>
          <w:color w:val="000000"/>
          <w:sz w:val="24"/>
          <w:szCs w:val="24"/>
        </w:rPr>
        <w:t>foreclosures</w:t>
      </w:r>
      <w:r>
        <w:rPr>
          <w:rFonts w:ascii="Times New Roman" w:eastAsia="Times New Roman" w:hAnsi="Times New Roman" w:cs="Times New Roman"/>
          <w:color w:val="000000"/>
          <w:sz w:val="24"/>
          <w:szCs w:val="24"/>
        </w:rPr>
        <w:t xml:space="preserve"> are </w:t>
      </w:r>
      <w:r w:rsidR="003F2312">
        <w:rPr>
          <w:rFonts w:ascii="Times New Roman" w:eastAsia="Times New Roman" w:hAnsi="Times New Roman" w:cs="Times New Roman"/>
          <w:color w:val="000000"/>
          <w:sz w:val="24"/>
          <w:szCs w:val="24"/>
        </w:rPr>
        <w:t>more</w:t>
      </w:r>
      <w:r>
        <w:rPr>
          <w:rFonts w:ascii="Times New Roman" w:eastAsia="Times New Roman" w:hAnsi="Times New Roman" w:cs="Times New Roman"/>
          <w:color w:val="000000"/>
          <w:sz w:val="24"/>
          <w:szCs w:val="24"/>
        </w:rPr>
        <w:t xml:space="preserve"> carefully cou</w:t>
      </w:r>
      <w:r w:rsidR="003F2312">
        <w:rPr>
          <w:rFonts w:ascii="Times New Roman" w:eastAsia="Times New Roman" w:hAnsi="Times New Roman" w:cs="Times New Roman"/>
          <w:color w:val="000000"/>
          <w:sz w:val="24"/>
          <w:szCs w:val="24"/>
        </w:rPr>
        <w:t xml:space="preserve">nted, and when multiple entries on the same address are controlled for, the following levels are obtained. The third column in the table is the number </w:t>
      </w:r>
      <w:r w:rsidR="00A94EB5">
        <w:rPr>
          <w:rFonts w:ascii="Times New Roman" w:eastAsia="Times New Roman" w:hAnsi="Times New Roman" w:cs="Times New Roman"/>
          <w:color w:val="000000"/>
          <w:sz w:val="24"/>
          <w:szCs w:val="24"/>
        </w:rPr>
        <w:t>of all foreclosure actions taken without regard to unique addresses. Thus, a property that enters the foreclosure flow may have multiple adjustments that result in the same foreclosure being counted more than once.</w:t>
      </w:r>
      <w:r w:rsidR="00A94EB5" w:rsidRPr="00A94EB5">
        <w:rPr>
          <w:rFonts w:ascii="Times New Roman" w:eastAsia="Times New Roman" w:hAnsi="Times New Roman" w:cs="Times New Roman"/>
          <w:color w:val="000000"/>
          <w:sz w:val="24"/>
          <w:szCs w:val="24"/>
        </w:rPr>
        <w:t xml:space="preserve"> </w:t>
      </w:r>
    </w:p>
    <w:p w:rsidR="003F2312" w:rsidRDefault="003F2312" w:rsidP="0078328B">
      <w:pPr>
        <w:spacing w:after="120"/>
        <w:rPr>
          <w:rFonts w:ascii="Times New Roman" w:eastAsia="Times New Roman" w:hAnsi="Times New Roman" w:cs="Times New Roman"/>
          <w:b/>
          <w:color w:val="000000"/>
          <w:sz w:val="24"/>
          <w:szCs w:val="24"/>
        </w:rPr>
      </w:pPr>
    </w:p>
    <w:p w:rsidR="003F2312" w:rsidRDefault="003F2312" w:rsidP="00E84778">
      <w:pPr>
        <w:spacing w:after="120"/>
        <w:jc w:val="center"/>
        <w:rPr>
          <w:rFonts w:ascii="Times New Roman" w:eastAsia="Times New Roman" w:hAnsi="Times New Roman" w:cs="Times New Roman"/>
          <w:b/>
          <w:color w:val="000000"/>
          <w:sz w:val="24"/>
          <w:szCs w:val="24"/>
        </w:rPr>
      </w:pPr>
    </w:p>
    <w:p w:rsidR="00E84778" w:rsidRPr="003E6623" w:rsidRDefault="00673C16" w:rsidP="00E84778">
      <w:pPr>
        <w:spacing w:after="120"/>
        <w:jc w:val="center"/>
        <w:rPr>
          <w:rFonts w:ascii="Times New Roman" w:eastAsia="Times New Roman" w:hAnsi="Times New Roman" w:cs="Times New Roman"/>
          <w:b/>
          <w:color w:val="000000"/>
          <w:sz w:val="24"/>
          <w:szCs w:val="24"/>
        </w:rPr>
      </w:pPr>
      <w:r w:rsidRPr="003E6623">
        <w:rPr>
          <w:rFonts w:ascii="Times New Roman" w:eastAsia="Times New Roman" w:hAnsi="Times New Roman" w:cs="Times New Roman"/>
          <w:b/>
          <w:color w:val="000000"/>
          <w:sz w:val="24"/>
          <w:szCs w:val="24"/>
        </w:rPr>
        <w:t>Estimated Completed Foreclosures, Annually 2003 to 2008</w:t>
      </w:r>
    </w:p>
    <w:tbl>
      <w:tblPr>
        <w:tblW w:w="4490" w:type="dxa"/>
        <w:jc w:val="center"/>
        <w:tblLook w:val="04A0" w:firstRow="1" w:lastRow="0" w:firstColumn="1" w:lastColumn="0" w:noHBand="0" w:noVBand="1"/>
      </w:tblPr>
      <w:tblGrid>
        <w:gridCol w:w="1150"/>
        <w:gridCol w:w="1580"/>
        <w:gridCol w:w="1760"/>
      </w:tblGrid>
      <w:tr w:rsidR="00E84778" w:rsidRPr="00E84778" w:rsidTr="003E6623">
        <w:trPr>
          <w:trHeight w:val="288"/>
          <w:jc w:val="center"/>
        </w:trPr>
        <w:tc>
          <w:tcPr>
            <w:tcW w:w="1150" w:type="dxa"/>
            <w:tcBorders>
              <w:bottom w:val="single" w:sz="4" w:space="0" w:color="auto"/>
            </w:tcBorders>
            <w:noWrap/>
          </w:tcPr>
          <w:p w:rsidR="00E84778" w:rsidRPr="00E84778" w:rsidRDefault="00E84778" w:rsidP="00673C16">
            <w:pPr>
              <w:jc w:val="center"/>
              <w:rPr>
                <w:rFonts w:ascii="Times New Roman" w:eastAsia="Times New Roman" w:hAnsi="Times New Roman" w:cs="Times New Roman"/>
                <w:sz w:val="24"/>
                <w:szCs w:val="24"/>
              </w:rPr>
            </w:pPr>
            <w:r w:rsidRPr="00E84778">
              <w:rPr>
                <w:rFonts w:ascii="Times New Roman" w:eastAsia="Times New Roman" w:hAnsi="Times New Roman" w:cs="Times New Roman"/>
                <w:sz w:val="24"/>
                <w:szCs w:val="24"/>
              </w:rPr>
              <w:t>Year</w:t>
            </w:r>
          </w:p>
        </w:tc>
        <w:tc>
          <w:tcPr>
            <w:tcW w:w="1580" w:type="dxa"/>
            <w:tcBorders>
              <w:bottom w:val="single" w:sz="4" w:space="0" w:color="auto"/>
            </w:tcBorders>
            <w:noWrap/>
          </w:tcPr>
          <w:p w:rsidR="00E84778" w:rsidRPr="00E84778" w:rsidRDefault="00E84778" w:rsidP="00673C16">
            <w:pPr>
              <w:jc w:val="center"/>
              <w:rPr>
                <w:rFonts w:ascii="Times New Roman" w:eastAsia="Times New Roman" w:hAnsi="Times New Roman" w:cs="Times New Roman"/>
                <w:sz w:val="24"/>
                <w:szCs w:val="24"/>
              </w:rPr>
            </w:pPr>
            <w:r w:rsidRPr="00E84778">
              <w:rPr>
                <w:rFonts w:ascii="Times New Roman" w:eastAsia="Times New Roman" w:hAnsi="Times New Roman" w:cs="Times New Roman"/>
                <w:sz w:val="24"/>
                <w:szCs w:val="24"/>
              </w:rPr>
              <w:t>Sheriff Deeds</w:t>
            </w:r>
          </w:p>
        </w:tc>
        <w:tc>
          <w:tcPr>
            <w:tcW w:w="1760" w:type="dxa"/>
            <w:tcBorders>
              <w:bottom w:val="single" w:sz="4" w:space="0" w:color="auto"/>
            </w:tcBorders>
            <w:noWrap/>
          </w:tcPr>
          <w:p w:rsidR="00E84778" w:rsidRPr="00E84778" w:rsidRDefault="00E84778" w:rsidP="00673C16">
            <w:pPr>
              <w:jc w:val="center"/>
              <w:rPr>
                <w:rFonts w:ascii="Times New Roman" w:eastAsia="Times New Roman" w:hAnsi="Times New Roman" w:cs="Times New Roman"/>
                <w:sz w:val="24"/>
                <w:szCs w:val="24"/>
              </w:rPr>
            </w:pPr>
            <w:r w:rsidRPr="00E84778">
              <w:rPr>
                <w:rFonts w:ascii="Times New Roman" w:eastAsia="Times New Roman" w:hAnsi="Times New Roman" w:cs="Times New Roman"/>
                <w:sz w:val="24"/>
                <w:szCs w:val="24"/>
              </w:rPr>
              <w:t>Foreclosure Filings</w:t>
            </w:r>
          </w:p>
        </w:tc>
      </w:tr>
      <w:tr w:rsidR="00673C16" w:rsidRPr="00E84778" w:rsidTr="003E6623">
        <w:trPr>
          <w:trHeight w:val="288"/>
          <w:jc w:val="center"/>
        </w:trPr>
        <w:tc>
          <w:tcPr>
            <w:tcW w:w="1150" w:type="dxa"/>
            <w:tcBorders>
              <w:top w:val="single" w:sz="4" w:space="0" w:color="auto"/>
            </w:tcBorders>
            <w:noWrap/>
            <w:hideMark/>
          </w:tcPr>
          <w:p w:rsidR="00673C16" w:rsidRPr="00E84778" w:rsidRDefault="00673C16" w:rsidP="00673C16">
            <w:pPr>
              <w:jc w:val="center"/>
              <w:rPr>
                <w:rFonts w:ascii="Times New Roman" w:eastAsia="Times New Roman" w:hAnsi="Times New Roman" w:cs="Times New Roman"/>
                <w:sz w:val="24"/>
                <w:szCs w:val="24"/>
              </w:rPr>
            </w:pPr>
            <w:r w:rsidRPr="00E84778">
              <w:rPr>
                <w:rFonts w:ascii="Times New Roman" w:eastAsia="Times New Roman" w:hAnsi="Times New Roman" w:cs="Times New Roman"/>
                <w:sz w:val="24"/>
                <w:szCs w:val="24"/>
              </w:rPr>
              <w:t>2011</w:t>
            </w:r>
          </w:p>
        </w:tc>
        <w:tc>
          <w:tcPr>
            <w:tcW w:w="1580" w:type="dxa"/>
            <w:tcBorders>
              <w:top w:val="single" w:sz="4" w:space="0" w:color="auto"/>
            </w:tcBorders>
            <w:noWrap/>
            <w:hideMark/>
          </w:tcPr>
          <w:p w:rsidR="00673C16" w:rsidRPr="00E84778" w:rsidRDefault="00673C16" w:rsidP="00673C16">
            <w:pPr>
              <w:jc w:val="center"/>
              <w:rPr>
                <w:rFonts w:ascii="Times New Roman" w:eastAsia="Times New Roman" w:hAnsi="Times New Roman" w:cs="Times New Roman"/>
                <w:sz w:val="24"/>
                <w:szCs w:val="24"/>
              </w:rPr>
            </w:pPr>
            <w:r w:rsidRPr="00E84778">
              <w:rPr>
                <w:rFonts w:ascii="Times New Roman" w:eastAsia="Times New Roman" w:hAnsi="Times New Roman" w:cs="Times New Roman"/>
                <w:sz w:val="24"/>
                <w:szCs w:val="24"/>
              </w:rPr>
              <w:t>2452</w:t>
            </w:r>
          </w:p>
        </w:tc>
        <w:tc>
          <w:tcPr>
            <w:tcW w:w="1760" w:type="dxa"/>
            <w:tcBorders>
              <w:top w:val="single" w:sz="4" w:space="0" w:color="auto"/>
            </w:tcBorders>
            <w:noWrap/>
            <w:hideMark/>
          </w:tcPr>
          <w:p w:rsidR="00673C16" w:rsidRPr="00E84778" w:rsidRDefault="00673C16" w:rsidP="00673C16">
            <w:pPr>
              <w:jc w:val="center"/>
              <w:rPr>
                <w:rFonts w:ascii="Times New Roman" w:eastAsia="Times New Roman" w:hAnsi="Times New Roman" w:cs="Times New Roman"/>
                <w:sz w:val="24"/>
                <w:szCs w:val="24"/>
              </w:rPr>
            </w:pPr>
            <w:r w:rsidRPr="00E84778">
              <w:rPr>
                <w:rFonts w:ascii="Times New Roman" w:eastAsia="Times New Roman" w:hAnsi="Times New Roman" w:cs="Times New Roman"/>
                <w:sz w:val="24"/>
                <w:szCs w:val="24"/>
              </w:rPr>
              <w:t>4634</w:t>
            </w:r>
          </w:p>
        </w:tc>
      </w:tr>
      <w:tr w:rsidR="00673C16" w:rsidRPr="00E84778" w:rsidTr="00E84778">
        <w:trPr>
          <w:trHeight w:val="288"/>
          <w:jc w:val="center"/>
        </w:trPr>
        <w:tc>
          <w:tcPr>
            <w:tcW w:w="1150" w:type="dxa"/>
            <w:hideMark/>
          </w:tcPr>
          <w:p w:rsidR="00673C16" w:rsidRPr="00E84778" w:rsidRDefault="00673C16" w:rsidP="00673C16">
            <w:pPr>
              <w:jc w:val="center"/>
              <w:rPr>
                <w:rFonts w:ascii="Times New Roman" w:eastAsia="Times New Roman" w:hAnsi="Times New Roman" w:cs="Times New Roman"/>
                <w:sz w:val="24"/>
                <w:szCs w:val="24"/>
              </w:rPr>
            </w:pPr>
            <w:r w:rsidRPr="00E84778">
              <w:rPr>
                <w:rFonts w:ascii="Times New Roman" w:eastAsia="Times New Roman" w:hAnsi="Times New Roman" w:cs="Times New Roman"/>
                <w:color w:val="000000"/>
                <w:sz w:val="24"/>
                <w:szCs w:val="24"/>
              </w:rPr>
              <w:t>2010</w:t>
            </w:r>
          </w:p>
        </w:tc>
        <w:tc>
          <w:tcPr>
            <w:tcW w:w="1580" w:type="dxa"/>
            <w:hideMark/>
          </w:tcPr>
          <w:p w:rsidR="00673C16" w:rsidRPr="00E84778" w:rsidRDefault="00673C16" w:rsidP="00673C16">
            <w:pPr>
              <w:jc w:val="center"/>
              <w:rPr>
                <w:rFonts w:ascii="Times New Roman" w:eastAsia="Times New Roman" w:hAnsi="Times New Roman" w:cs="Times New Roman"/>
                <w:sz w:val="24"/>
                <w:szCs w:val="24"/>
              </w:rPr>
            </w:pPr>
            <w:r w:rsidRPr="00E84778">
              <w:rPr>
                <w:rFonts w:ascii="Times New Roman" w:eastAsia="Times New Roman" w:hAnsi="Times New Roman" w:cs="Times New Roman"/>
                <w:color w:val="000000"/>
                <w:sz w:val="24"/>
                <w:szCs w:val="24"/>
              </w:rPr>
              <w:t>5367</w:t>
            </w:r>
          </w:p>
        </w:tc>
        <w:tc>
          <w:tcPr>
            <w:tcW w:w="1760" w:type="dxa"/>
            <w:noWrap/>
            <w:hideMark/>
          </w:tcPr>
          <w:p w:rsidR="00673C16" w:rsidRPr="00E84778" w:rsidRDefault="00673C16" w:rsidP="00673C16">
            <w:pPr>
              <w:jc w:val="center"/>
              <w:rPr>
                <w:rFonts w:ascii="Times New Roman" w:eastAsia="Times New Roman" w:hAnsi="Times New Roman" w:cs="Times New Roman"/>
                <w:sz w:val="24"/>
                <w:szCs w:val="24"/>
              </w:rPr>
            </w:pPr>
            <w:r w:rsidRPr="00E84778">
              <w:rPr>
                <w:rFonts w:ascii="Times New Roman" w:eastAsia="Times New Roman" w:hAnsi="Times New Roman" w:cs="Times New Roman"/>
                <w:color w:val="000000"/>
                <w:sz w:val="24"/>
                <w:szCs w:val="24"/>
              </w:rPr>
              <w:t>7551</w:t>
            </w:r>
          </w:p>
        </w:tc>
      </w:tr>
      <w:tr w:rsidR="00673C16" w:rsidRPr="00E84778" w:rsidTr="00E84778">
        <w:trPr>
          <w:trHeight w:val="288"/>
          <w:jc w:val="center"/>
        </w:trPr>
        <w:tc>
          <w:tcPr>
            <w:tcW w:w="1150" w:type="dxa"/>
            <w:hideMark/>
          </w:tcPr>
          <w:p w:rsidR="00673C16" w:rsidRPr="00E84778" w:rsidRDefault="00673C16" w:rsidP="00673C16">
            <w:pPr>
              <w:jc w:val="center"/>
              <w:rPr>
                <w:rFonts w:ascii="Times New Roman" w:eastAsia="Times New Roman" w:hAnsi="Times New Roman" w:cs="Times New Roman"/>
                <w:sz w:val="24"/>
                <w:szCs w:val="24"/>
              </w:rPr>
            </w:pPr>
            <w:r w:rsidRPr="00E84778">
              <w:rPr>
                <w:rFonts w:ascii="Times New Roman" w:eastAsia="Times New Roman" w:hAnsi="Times New Roman" w:cs="Times New Roman"/>
                <w:color w:val="000000"/>
                <w:sz w:val="24"/>
                <w:szCs w:val="24"/>
              </w:rPr>
              <w:t>2009</w:t>
            </w:r>
          </w:p>
        </w:tc>
        <w:tc>
          <w:tcPr>
            <w:tcW w:w="1580" w:type="dxa"/>
            <w:hideMark/>
          </w:tcPr>
          <w:p w:rsidR="00673C16" w:rsidRPr="00E84778" w:rsidRDefault="00673C16" w:rsidP="00673C16">
            <w:pPr>
              <w:jc w:val="center"/>
              <w:rPr>
                <w:rFonts w:ascii="Times New Roman" w:eastAsia="Times New Roman" w:hAnsi="Times New Roman" w:cs="Times New Roman"/>
                <w:sz w:val="24"/>
                <w:szCs w:val="24"/>
              </w:rPr>
            </w:pPr>
            <w:r w:rsidRPr="00E84778">
              <w:rPr>
                <w:rFonts w:ascii="Times New Roman" w:eastAsia="Times New Roman" w:hAnsi="Times New Roman" w:cs="Times New Roman"/>
                <w:color w:val="000000"/>
                <w:sz w:val="24"/>
                <w:szCs w:val="24"/>
              </w:rPr>
              <w:t>7122</w:t>
            </w:r>
          </w:p>
        </w:tc>
        <w:tc>
          <w:tcPr>
            <w:tcW w:w="1760" w:type="dxa"/>
            <w:noWrap/>
            <w:hideMark/>
          </w:tcPr>
          <w:p w:rsidR="00673C16" w:rsidRPr="00E84778" w:rsidRDefault="00673C16" w:rsidP="00673C16">
            <w:pPr>
              <w:jc w:val="center"/>
              <w:rPr>
                <w:rFonts w:ascii="Times New Roman" w:eastAsia="Times New Roman" w:hAnsi="Times New Roman" w:cs="Times New Roman"/>
                <w:sz w:val="24"/>
                <w:szCs w:val="24"/>
              </w:rPr>
            </w:pPr>
            <w:r w:rsidRPr="00E84778">
              <w:rPr>
                <w:rFonts w:ascii="Times New Roman" w:eastAsia="Times New Roman" w:hAnsi="Times New Roman" w:cs="Times New Roman"/>
                <w:color w:val="000000"/>
                <w:sz w:val="24"/>
                <w:szCs w:val="24"/>
              </w:rPr>
              <w:t>8398</w:t>
            </w:r>
          </w:p>
        </w:tc>
      </w:tr>
      <w:tr w:rsidR="00673C16" w:rsidRPr="00E84778" w:rsidTr="00E84778">
        <w:trPr>
          <w:trHeight w:val="288"/>
          <w:jc w:val="center"/>
        </w:trPr>
        <w:tc>
          <w:tcPr>
            <w:tcW w:w="1150" w:type="dxa"/>
            <w:hideMark/>
          </w:tcPr>
          <w:p w:rsidR="00673C16" w:rsidRPr="00E84778" w:rsidRDefault="00673C16" w:rsidP="00673C16">
            <w:pPr>
              <w:jc w:val="center"/>
              <w:rPr>
                <w:rFonts w:ascii="Times New Roman" w:eastAsia="Times New Roman" w:hAnsi="Times New Roman" w:cs="Times New Roman"/>
                <w:sz w:val="24"/>
                <w:szCs w:val="24"/>
              </w:rPr>
            </w:pPr>
            <w:r w:rsidRPr="00E84778">
              <w:rPr>
                <w:rFonts w:ascii="Times New Roman" w:eastAsia="Times New Roman" w:hAnsi="Times New Roman" w:cs="Times New Roman"/>
                <w:color w:val="000000"/>
                <w:sz w:val="24"/>
                <w:szCs w:val="24"/>
              </w:rPr>
              <w:t>2008</w:t>
            </w:r>
          </w:p>
        </w:tc>
        <w:tc>
          <w:tcPr>
            <w:tcW w:w="1580" w:type="dxa"/>
            <w:hideMark/>
          </w:tcPr>
          <w:p w:rsidR="00673C16" w:rsidRPr="00E84778" w:rsidRDefault="00673C16" w:rsidP="00673C16">
            <w:pPr>
              <w:jc w:val="center"/>
              <w:rPr>
                <w:rFonts w:ascii="Times New Roman" w:eastAsia="Times New Roman" w:hAnsi="Times New Roman" w:cs="Times New Roman"/>
                <w:sz w:val="24"/>
                <w:szCs w:val="24"/>
              </w:rPr>
            </w:pPr>
            <w:r w:rsidRPr="00E84778">
              <w:rPr>
                <w:rFonts w:ascii="Times New Roman" w:eastAsia="Times New Roman" w:hAnsi="Times New Roman" w:cs="Times New Roman"/>
                <w:color w:val="000000"/>
                <w:sz w:val="24"/>
                <w:szCs w:val="24"/>
              </w:rPr>
              <w:t>5576</w:t>
            </w:r>
          </w:p>
        </w:tc>
        <w:tc>
          <w:tcPr>
            <w:tcW w:w="1760" w:type="dxa"/>
            <w:noWrap/>
            <w:hideMark/>
          </w:tcPr>
          <w:p w:rsidR="00673C16" w:rsidRPr="00E84778" w:rsidRDefault="00673C16" w:rsidP="00673C16">
            <w:pPr>
              <w:jc w:val="center"/>
              <w:rPr>
                <w:rFonts w:ascii="Times New Roman" w:eastAsia="Times New Roman" w:hAnsi="Times New Roman" w:cs="Times New Roman"/>
                <w:sz w:val="24"/>
                <w:szCs w:val="24"/>
              </w:rPr>
            </w:pPr>
            <w:r w:rsidRPr="00E84778">
              <w:rPr>
                <w:rFonts w:ascii="Times New Roman" w:eastAsia="Times New Roman" w:hAnsi="Times New Roman" w:cs="Times New Roman"/>
                <w:color w:val="000000"/>
                <w:sz w:val="24"/>
                <w:szCs w:val="24"/>
              </w:rPr>
              <w:t>7475</w:t>
            </w:r>
          </w:p>
        </w:tc>
      </w:tr>
      <w:tr w:rsidR="00673C16" w:rsidRPr="00E84778" w:rsidTr="00E84778">
        <w:trPr>
          <w:trHeight w:val="288"/>
          <w:jc w:val="center"/>
        </w:trPr>
        <w:tc>
          <w:tcPr>
            <w:tcW w:w="1150" w:type="dxa"/>
            <w:hideMark/>
          </w:tcPr>
          <w:p w:rsidR="00673C16" w:rsidRPr="00E84778" w:rsidRDefault="00673C16" w:rsidP="00673C16">
            <w:pPr>
              <w:jc w:val="center"/>
              <w:rPr>
                <w:rFonts w:ascii="Times New Roman" w:eastAsia="Times New Roman" w:hAnsi="Times New Roman" w:cs="Times New Roman"/>
                <w:sz w:val="24"/>
                <w:szCs w:val="24"/>
              </w:rPr>
            </w:pPr>
            <w:r w:rsidRPr="00E84778">
              <w:rPr>
                <w:rFonts w:ascii="Times New Roman" w:eastAsia="Times New Roman" w:hAnsi="Times New Roman" w:cs="Times New Roman"/>
                <w:color w:val="000000"/>
                <w:sz w:val="24"/>
                <w:szCs w:val="24"/>
              </w:rPr>
              <w:t>2007</w:t>
            </w:r>
          </w:p>
        </w:tc>
        <w:tc>
          <w:tcPr>
            <w:tcW w:w="1580" w:type="dxa"/>
            <w:hideMark/>
          </w:tcPr>
          <w:p w:rsidR="00673C16" w:rsidRPr="00E84778" w:rsidRDefault="00673C16" w:rsidP="00673C16">
            <w:pPr>
              <w:jc w:val="center"/>
              <w:rPr>
                <w:rFonts w:ascii="Times New Roman" w:eastAsia="Times New Roman" w:hAnsi="Times New Roman" w:cs="Times New Roman"/>
                <w:sz w:val="24"/>
                <w:szCs w:val="24"/>
              </w:rPr>
            </w:pPr>
            <w:r w:rsidRPr="00E84778">
              <w:rPr>
                <w:rFonts w:ascii="Times New Roman" w:eastAsia="Times New Roman" w:hAnsi="Times New Roman" w:cs="Times New Roman"/>
                <w:color w:val="000000"/>
                <w:sz w:val="24"/>
                <w:szCs w:val="24"/>
              </w:rPr>
              <w:t>3295</w:t>
            </w:r>
          </w:p>
        </w:tc>
        <w:tc>
          <w:tcPr>
            <w:tcW w:w="1760" w:type="dxa"/>
            <w:noWrap/>
            <w:hideMark/>
          </w:tcPr>
          <w:p w:rsidR="00673C16" w:rsidRPr="00E84778" w:rsidRDefault="00673C16" w:rsidP="00673C16">
            <w:pPr>
              <w:jc w:val="center"/>
              <w:rPr>
                <w:rFonts w:ascii="Times New Roman" w:eastAsia="Times New Roman" w:hAnsi="Times New Roman" w:cs="Times New Roman"/>
                <w:sz w:val="24"/>
                <w:szCs w:val="24"/>
              </w:rPr>
            </w:pPr>
            <w:r w:rsidRPr="00E84778">
              <w:rPr>
                <w:rFonts w:ascii="Times New Roman" w:eastAsia="Times New Roman" w:hAnsi="Times New Roman" w:cs="Times New Roman"/>
                <w:color w:val="000000"/>
                <w:sz w:val="24"/>
                <w:szCs w:val="24"/>
              </w:rPr>
              <w:t>6433</w:t>
            </w:r>
          </w:p>
        </w:tc>
      </w:tr>
      <w:tr w:rsidR="00673C16" w:rsidRPr="00E84778" w:rsidTr="00E84778">
        <w:trPr>
          <w:trHeight w:val="288"/>
          <w:jc w:val="center"/>
        </w:trPr>
        <w:tc>
          <w:tcPr>
            <w:tcW w:w="1150" w:type="dxa"/>
            <w:hideMark/>
          </w:tcPr>
          <w:p w:rsidR="00673C16" w:rsidRPr="00E84778" w:rsidRDefault="00673C16" w:rsidP="00673C16">
            <w:pPr>
              <w:jc w:val="center"/>
              <w:rPr>
                <w:rFonts w:ascii="Times New Roman" w:eastAsia="Times New Roman" w:hAnsi="Times New Roman" w:cs="Times New Roman"/>
                <w:sz w:val="24"/>
                <w:szCs w:val="24"/>
              </w:rPr>
            </w:pPr>
            <w:r w:rsidRPr="00E84778">
              <w:rPr>
                <w:rFonts w:ascii="Times New Roman" w:eastAsia="Times New Roman" w:hAnsi="Times New Roman" w:cs="Times New Roman"/>
                <w:color w:val="000000"/>
                <w:sz w:val="24"/>
                <w:szCs w:val="24"/>
              </w:rPr>
              <w:t>2006</w:t>
            </w:r>
          </w:p>
        </w:tc>
        <w:tc>
          <w:tcPr>
            <w:tcW w:w="1580" w:type="dxa"/>
            <w:hideMark/>
          </w:tcPr>
          <w:p w:rsidR="00673C16" w:rsidRPr="00E84778" w:rsidRDefault="00673C16" w:rsidP="00673C16">
            <w:pPr>
              <w:jc w:val="center"/>
              <w:rPr>
                <w:rFonts w:ascii="Times New Roman" w:eastAsia="Times New Roman" w:hAnsi="Times New Roman" w:cs="Times New Roman"/>
                <w:sz w:val="24"/>
                <w:szCs w:val="24"/>
              </w:rPr>
            </w:pPr>
            <w:r w:rsidRPr="00E84778">
              <w:rPr>
                <w:rFonts w:ascii="Times New Roman" w:eastAsia="Times New Roman" w:hAnsi="Times New Roman" w:cs="Times New Roman"/>
                <w:color w:val="000000"/>
                <w:sz w:val="24"/>
                <w:szCs w:val="24"/>
              </w:rPr>
              <w:t>3353</w:t>
            </w:r>
          </w:p>
        </w:tc>
        <w:tc>
          <w:tcPr>
            <w:tcW w:w="1760" w:type="dxa"/>
            <w:noWrap/>
            <w:hideMark/>
          </w:tcPr>
          <w:p w:rsidR="00673C16" w:rsidRPr="00E84778" w:rsidRDefault="00673C16" w:rsidP="00673C16">
            <w:pPr>
              <w:jc w:val="center"/>
              <w:rPr>
                <w:rFonts w:ascii="Times New Roman" w:eastAsia="Times New Roman" w:hAnsi="Times New Roman" w:cs="Times New Roman"/>
                <w:sz w:val="24"/>
                <w:szCs w:val="24"/>
              </w:rPr>
            </w:pPr>
            <w:r w:rsidRPr="00E84778">
              <w:rPr>
                <w:rFonts w:ascii="Times New Roman" w:eastAsia="Times New Roman" w:hAnsi="Times New Roman" w:cs="Times New Roman"/>
                <w:color w:val="000000"/>
                <w:sz w:val="24"/>
                <w:szCs w:val="24"/>
              </w:rPr>
              <w:t>5336</w:t>
            </w:r>
          </w:p>
        </w:tc>
      </w:tr>
      <w:tr w:rsidR="00673C16" w:rsidRPr="00E84778" w:rsidTr="00E84778">
        <w:trPr>
          <w:trHeight w:val="288"/>
          <w:jc w:val="center"/>
        </w:trPr>
        <w:tc>
          <w:tcPr>
            <w:tcW w:w="1150" w:type="dxa"/>
            <w:hideMark/>
          </w:tcPr>
          <w:p w:rsidR="00673C16" w:rsidRPr="00E84778" w:rsidRDefault="00673C16" w:rsidP="00673C16">
            <w:pPr>
              <w:jc w:val="center"/>
              <w:rPr>
                <w:rFonts w:ascii="Times New Roman" w:eastAsia="Times New Roman" w:hAnsi="Times New Roman" w:cs="Times New Roman"/>
                <w:sz w:val="24"/>
                <w:szCs w:val="24"/>
              </w:rPr>
            </w:pPr>
            <w:r w:rsidRPr="00E84778">
              <w:rPr>
                <w:rFonts w:ascii="Times New Roman" w:eastAsia="Times New Roman" w:hAnsi="Times New Roman" w:cs="Times New Roman"/>
                <w:color w:val="000000"/>
                <w:sz w:val="24"/>
                <w:szCs w:val="24"/>
              </w:rPr>
              <w:t>2005</w:t>
            </w:r>
          </w:p>
        </w:tc>
        <w:tc>
          <w:tcPr>
            <w:tcW w:w="1580" w:type="dxa"/>
            <w:hideMark/>
          </w:tcPr>
          <w:p w:rsidR="00673C16" w:rsidRPr="00E84778" w:rsidRDefault="00673C16" w:rsidP="00673C16">
            <w:pPr>
              <w:jc w:val="center"/>
              <w:rPr>
                <w:rFonts w:ascii="Times New Roman" w:eastAsia="Times New Roman" w:hAnsi="Times New Roman" w:cs="Times New Roman"/>
                <w:sz w:val="24"/>
                <w:szCs w:val="24"/>
              </w:rPr>
            </w:pPr>
            <w:r w:rsidRPr="00E84778">
              <w:rPr>
                <w:rFonts w:ascii="Times New Roman" w:eastAsia="Times New Roman" w:hAnsi="Times New Roman" w:cs="Times New Roman"/>
                <w:color w:val="000000"/>
                <w:sz w:val="24"/>
                <w:szCs w:val="24"/>
              </w:rPr>
              <w:t>4135</w:t>
            </w:r>
          </w:p>
        </w:tc>
        <w:tc>
          <w:tcPr>
            <w:tcW w:w="1760" w:type="dxa"/>
            <w:noWrap/>
            <w:hideMark/>
          </w:tcPr>
          <w:p w:rsidR="00673C16" w:rsidRPr="00E84778" w:rsidRDefault="00673C16" w:rsidP="00673C16">
            <w:pPr>
              <w:jc w:val="center"/>
              <w:rPr>
                <w:rFonts w:ascii="Times New Roman" w:eastAsia="Times New Roman" w:hAnsi="Times New Roman" w:cs="Times New Roman"/>
                <w:sz w:val="24"/>
                <w:szCs w:val="24"/>
              </w:rPr>
            </w:pPr>
            <w:r w:rsidRPr="00E84778">
              <w:rPr>
                <w:rFonts w:ascii="Times New Roman" w:eastAsia="Times New Roman" w:hAnsi="Times New Roman" w:cs="Times New Roman"/>
                <w:color w:val="000000"/>
                <w:sz w:val="24"/>
                <w:szCs w:val="24"/>
              </w:rPr>
              <w:t>5155</w:t>
            </w:r>
          </w:p>
        </w:tc>
      </w:tr>
      <w:tr w:rsidR="00673C16" w:rsidRPr="00E84778" w:rsidTr="00552CCA">
        <w:trPr>
          <w:trHeight w:val="288"/>
          <w:jc w:val="center"/>
        </w:trPr>
        <w:tc>
          <w:tcPr>
            <w:tcW w:w="1150" w:type="dxa"/>
            <w:hideMark/>
          </w:tcPr>
          <w:p w:rsidR="00673C16" w:rsidRPr="00E84778" w:rsidRDefault="00673C16" w:rsidP="00673C16">
            <w:pPr>
              <w:jc w:val="center"/>
              <w:rPr>
                <w:rFonts w:ascii="Times New Roman" w:eastAsia="Times New Roman" w:hAnsi="Times New Roman" w:cs="Times New Roman"/>
                <w:sz w:val="24"/>
                <w:szCs w:val="24"/>
              </w:rPr>
            </w:pPr>
            <w:r w:rsidRPr="00E84778">
              <w:rPr>
                <w:rFonts w:ascii="Times New Roman" w:eastAsia="Times New Roman" w:hAnsi="Times New Roman" w:cs="Times New Roman"/>
                <w:color w:val="000000"/>
                <w:sz w:val="24"/>
                <w:szCs w:val="24"/>
              </w:rPr>
              <w:t>2004</w:t>
            </w:r>
          </w:p>
        </w:tc>
        <w:tc>
          <w:tcPr>
            <w:tcW w:w="1580" w:type="dxa"/>
            <w:hideMark/>
          </w:tcPr>
          <w:p w:rsidR="00673C16" w:rsidRPr="00E84778" w:rsidRDefault="00673C16" w:rsidP="00673C16">
            <w:pPr>
              <w:jc w:val="center"/>
              <w:rPr>
                <w:rFonts w:ascii="Times New Roman" w:eastAsia="Times New Roman" w:hAnsi="Times New Roman" w:cs="Times New Roman"/>
                <w:sz w:val="24"/>
                <w:szCs w:val="24"/>
              </w:rPr>
            </w:pPr>
            <w:r w:rsidRPr="00E84778">
              <w:rPr>
                <w:rFonts w:ascii="Times New Roman" w:eastAsia="Times New Roman" w:hAnsi="Times New Roman" w:cs="Times New Roman"/>
                <w:color w:val="000000"/>
                <w:sz w:val="24"/>
                <w:szCs w:val="24"/>
              </w:rPr>
              <w:t>4090</w:t>
            </w:r>
          </w:p>
        </w:tc>
        <w:tc>
          <w:tcPr>
            <w:tcW w:w="1760" w:type="dxa"/>
            <w:noWrap/>
            <w:hideMark/>
          </w:tcPr>
          <w:p w:rsidR="00673C16" w:rsidRPr="00E84778" w:rsidRDefault="00673C16" w:rsidP="00673C16">
            <w:pPr>
              <w:jc w:val="center"/>
              <w:rPr>
                <w:rFonts w:ascii="Times New Roman" w:eastAsia="Times New Roman" w:hAnsi="Times New Roman" w:cs="Times New Roman"/>
                <w:sz w:val="24"/>
                <w:szCs w:val="24"/>
              </w:rPr>
            </w:pPr>
            <w:r w:rsidRPr="00E84778">
              <w:rPr>
                <w:rFonts w:ascii="Times New Roman" w:eastAsia="Times New Roman" w:hAnsi="Times New Roman" w:cs="Times New Roman"/>
                <w:color w:val="000000"/>
                <w:sz w:val="24"/>
                <w:szCs w:val="24"/>
              </w:rPr>
              <w:t>5369</w:t>
            </w:r>
          </w:p>
        </w:tc>
      </w:tr>
      <w:tr w:rsidR="00673C16" w:rsidRPr="00E84778" w:rsidTr="00552CCA">
        <w:trPr>
          <w:trHeight w:val="288"/>
          <w:jc w:val="center"/>
        </w:trPr>
        <w:tc>
          <w:tcPr>
            <w:tcW w:w="1150" w:type="dxa"/>
            <w:tcBorders>
              <w:bottom w:val="single" w:sz="4" w:space="0" w:color="auto"/>
            </w:tcBorders>
            <w:hideMark/>
          </w:tcPr>
          <w:p w:rsidR="00673C16" w:rsidRPr="00E84778" w:rsidRDefault="00673C16" w:rsidP="00673C16">
            <w:pPr>
              <w:jc w:val="center"/>
              <w:rPr>
                <w:rFonts w:ascii="Times New Roman" w:eastAsia="Times New Roman" w:hAnsi="Times New Roman" w:cs="Times New Roman"/>
                <w:sz w:val="24"/>
                <w:szCs w:val="24"/>
              </w:rPr>
            </w:pPr>
            <w:r w:rsidRPr="00E84778">
              <w:rPr>
                <w:rFonts w:ascii="Times New Roman" w:eastAsia="Times New Roman" w:hAnsi="Times New Roman" w:cs="Times New Roman"/>
                <w:color w:val="000000"/>
                <w:sz w:val="24"/>
                <w:szCs w:val="24"/>
              </w:rPr>
              <w:t>2003</w:t>
            </w:r>
          </w:p>
        </w:tc>
        <w:tc>
          <w:tcPr>
            <w:tcW w:w="1580" w:type="dxa"/>
            <w:tcBorders>
              <w:bottom w:val="single" w:sz="4" w:space="0" w:color="auto"/>
            </w:tcBorders>
            <w:hideMark/>
          </w:tcPr>
          <w:p w:rsidR="00673C16" w:rsidRPr="00E84778" w:rsidRDefault="00673C16" w:rsidP="00673C16">
            <w:pPr>
              <w:jc w:val="center"/>
              <w:rPr>
                <w:rFonts w:ascii="Times New Roman" w:eastAsia="Times New Roman" w:hAnsi="Times New Roman" w:cs="Times New Roman"/>
                <w:sz w:val="24"/>
                <w:szCs w:val="24"/>
              </w:rPr>
            </w:pPr>
            <w:r w:rsidRPr="00E84778">
              <w:rPr>
                <w:rFonts w:ascii="Times New Roman" w:eastAsia="Times New Roman" w:hAnsi="Times New Roman" w:cs="Times New Roman"/>
                <w:color w:val="000000"/>
                <w:sz w:val="24"/>
                <w:szCs w:val="24"/>
              </w:rPr>
              <w:t>4354</w:t>
            </w:r>
          </w:p>
        </w:tc>
        <w:tc>
          <w:tcPr>
            <w:tcW w:w="1760" w:type="dxa"/>
            <w:tcBorders>
              <w:bottom w:val="single" w:sz="4" w:space="0" w:color="auto"/>
            </w:tcBorders>
            <w:noWrap/>
            <w:hideMark/>
          </w:tcPr>
          <w:p w:rsidR="00673C16" w:rsidRPr="00E84778" w:rsidRDefault="00673C16" w:rsidP="00673C16">
            <w:pPr>
              <w:jc w:val="center"/>
              <w:rPr>
                <w:rFonts w:ascii="Times New Roman" w:eastAsia="Times New Roman" w:hAnsi="Times New Roman" w:cs="Times New Roman"/>
                <w:sz w:val="24"/>
                <w:szCs w:val="24"/>
              </w:rPr>
            </w:pPr>
            <w:r w:rsidRPr="00E84778">
              <w:rPr>
                <w:rFonts w:ascii="Times New Roman" w:eastAsia="Times New Roman" w:hAnsi="Times New Roman" w:cs="Times New Roman"/>
                <w:color w:val="000000"/>
                <w:sz w:val="24"/>
                <w:szCs w:val="24"/>
              </w:rPr>
              <w:t>6361</w:t>
            </w:r>
          </w:p>
        </w:tc>
      </w:tr>
    </w:tbl>
    <w:p w:rsidR="003E6623" w:rsidRDefault="003E6623" w:rsidP="00552CCA">
      <w:pPr>
        <w:autoSpaceDE w:val="0"/>
        <w:autoSpaceDN w:val="0"/>
        <w:adjustRightInd w:val="0"/>
        <w:spacing w:after="0" w:line="240" w:lineRule="auto"/>
        <w:ind w:left="2160"/>
        <w:rPr>
          <w:rFonts w:ascii="Times New Roman" w:hAnsi="Times New Roman" w:cs="Times New Roman"/>
          <w:sz w:val="24"/>
          <w:szCs w:val="24"/>
        </w:rPr>
      </w:pPr>
      <w:r>
        <w:rPr>
          <w:rFonts w:ascii="Times New Roman" w:hAnsi="Times New Roman" w:cs="Times New Roman"/>
          <w:sz w:val="24"/>
          <w:szCs w:val="24"/>
        </w:rPr>
        <w:t xml:space="preserve">Source: Philadelphia Sheriff’s Department, provided </w:t>
      </w:r>
    </w:p>
    <w:p w:rsidR="003E6623" w:rsidRDefault="003E6623" w:rsidP="003E6623">
      <w:pPr>
        <w:autoSpaceDE w:val="0"/>
        <w:autoSpaceDN w:val="0"/>
        <w:adjustRightInd w:val="0"/>
        <w:spacing w:after="0" w:line="240" w:lineRule="auto"/>
        <w:ind w:left="2160"/>
        <w:rPr>
          <w:rFonts w:ascii="Times New Roman" w:hAnsi="Times New Roman" w:cs="Times New Roman"/>
          <w:sz w:val="24"/>
          <w:szCs w:val="24"/>
        </w:rPr>
      </w:pPr>
      <w:proofErr w:type="gramStart"/>
      <w:r>
        <w:rPr>
          <w:rFonts w:ascii="Times New Roman" w:hAnsi="Times New Roman" w:cs="Times New Roman"/>
          <w:sz w:val="24"/>
          <w:szCs w:val="24"/>
        </w:rPr>
        <w:t>by</w:t>
      </w:r>
      <w:proofErr w:type="gramEnd"/>
      <w:r>
        <w:rPr>
          <w:rFonts w:ascii="Times New Roman" w:hAnsi="Times New Roman" w:cs="Times New Roman"/>
          <w:sz w:val="24"/>
          <w:szCs w:val="24"/>
        </w:rPr>
        <w:t xml:space="preserve"> The Reinvestment Fund, April 2012.</w:t>
      </w:r>
    </w:p>
    <w:p w:rsidR="003E6623" w:rsidRDefault="003E6623" w:rsidP="00993E80">
      <w:pPr>
        <w:autoSpaceDE w:val="0"/>
        <w:autoSpaceDN w:val="0"/>
        <w:adjustRightInd w:val="0"/>
        <w:spacing w:after="120" w:line="240" w:lineRule="auto"/>
        <w:rPr>
          <w:rFonts w:ascii="Times New Roman" w:hAnsi="Times New Roman" w:cs="Times New Roman"/>
          <w:sz w:val="24"/>
          <w:szCs w:val="24"/>
        </w:rPr>
      </w:pPr>
    </w:p>
    <w:p w:rsidR="00552CCA" w:rsidRDefault="00552CCA" w:rsidP="00993E80">
      <w:pPr>
        <w:autoSpaceDE w:val="0"/>
        <w:autoSpaceDN w:val="0"/>
        <w:adjustRightInd w:val="0"/>
        <w:spacing w:after="120" w:line="240" w:lineRule="auto"/>
        <w:rPr>
          <w:rFonts w:ascii="Times New Roman" w:hAnsi="Times New Roman" w:cs="Times New Roman"/>
          <w:sz w:val="24"/>
          <w:szCs w:val="24"/>
        </w:rPr>
      </w:pPr>
    </w:p>
    <w:p w:rsidR="00EC5DB6" w:rsidRPr="00993E80" w:rsidRDefault="00FC077B" w:rsidP="00993E80">
      <w:pPr>
        <w:autoSpaceDE w:val="0"/>
        <w:autoSpaceDN w:val="0"/>
        <w:adjustRightInd w:val="0"/>
        <w:spacing w:after="120" w:line="240" w:lineRule="auto"/>
        <w:rPr>
          <w:rFonts w:ascii="Times New Roman" w:hAnsi="Times New Roman" w:cs="Times New Roman"/>
          <w:sz w:val="24"/>
          <w:szCs w:val="24"/>
        </w:rPr>
      </w:pPr>
      <w:r>
        <w:rPr>
          <w:rFonts w:ascii="Times New Roman" w:hAnsi="Times New Roman" w:cs="Times New Roman"/>
          <w:sz w:val="24"/>
          <w:szCs w:val="24"/>
        </w:rPr>
        <w:t>Links to mortgage loans:</w:t>
      </w:r>
    </w:p>
    <w:p w:rsidR="00A4121E" w:rsidRPr="00993E80" w:rsidRDefault="00A4121E" w:rsidP="00993E80">
      <w:pPr>
        <w:spacing w:after="120"/>
        <w:jc w:val="center"/>
        <w:rPr>
          <w:rFonts w:ascii="Times New Roman" w:eastAsia="Times New Roman" w:hAnsi="Times New Roman" w:cs="Times New Roman"/>
          <w:b/>
          <w:color w:val="000000"/>
          <w:sz w:val="24"/>
          <w:szCs w:val="24"/>
        </w:rPr>
      </w:pPr>
      <w:r w:rsidRPr="00993E80">
        <w:rPr>
          <w:rFonts w:ascii="Times New Roman" w:hAnsi="Times New Roman" w:cs="Times New Roman"/>
          <w:b/>
          <w:sz w:val="24"/>
          <w:szCs w:val="24"/>
        </w:rPr>
        <w:t>Percentage of Seriously Delinquent Loans, by Type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8"/>
        <w:gridCol w:w="2340"/>
        <w:gridCol w:w="2340"/>
      </w:tblGrid>
      <w:tr w:rsidR="00850CC1" w:rsidRPr="00993E80" w:rsidTr="00A4121E">
        <w:trPr>
          <w:jc w:val="center"/>
        </w:trPr>
        <w:tc>
          <w:tcPr>
            <w:tcW w:w="2178" w:type="dxa"/>
          </w:tcPr>
          <w:p w:rsidR="00850CC1" w:rsidRPr="00993E80" w:rsidRDefault="00850CC1" w:rsidP="00993E80">
            <w:pPr>
              <w:spacing w:after="120"/>
              <w:rPr>
                <w:rFonts w:ascii="Times New Roman" w:hAnsi="Times New Roman" w:cs="Times New Roman"/>
                <w:sz w:val="24"/>
                <w:szCs w:val="24"/>
              </w:rPr>
            </w:pPr>
          </w:p>
        </w:tc>
        <w:tc>
          <w:tcPr>
            <w:tcW w:w="2340" w:type="dxa"/>
            <w:tcBorders>
              <w:bottom w:val="single" w:sz="4" w:space="0" w:color="auto"/>
            </w:tcBorders>
          </w:tcPr>
          <w:p w:rsidR="00850CC1" w:rsidRPr="00993E80" w:rsidRDefault="00A4121E" w:rsidP="00993E80">
            <w:pPr>
              <w:spacing w:after="120"/>
              <w:rPr>
                <w:rFonts w:ascii="Times New Roman" w:hAnsi="Times New Roman" w:cs="Times New Roman"/>
                <w:sz w:val="24"/>
                <w:szCs w:val="24"/>
              </w:rPr>
            </w:pPr>
            <w:r w:rsidRPr="00993E80">
              <w:rPr>
                <w:rFonts w:ascii="Times New Roman" w:hAnsi="Times New Roman" w:cs="Times New Roman"/>
                <w:sz w:val="24"/>
                <w:szCs w:val="24"/>
              </w:rPr>
              <w:t>2007 (December)</w:t>
            </w:r>
          </w:p>
        </w:tc>
        <w:tc>
          <w:tcPr>
            <w:tcW w:w="2340" w:type="dxa"/>
            <w:tcBorders>
              <w:bottom w:val="single" w:sz="4" w:space="0" w:color="auto"/>
            </w:tcBorders>
          </w:tcPr>
          <w:p w:rsidR="00850CC1" w:rsidRPr="00993E80" w:rsidRDefault="00A4121E" w:rsidP="00993E80">
            <w:pPr>
              <w:spacing w:after="120"/>
              <w:rPr>
                <w:rFonts w:ascii="Times New Roman" w:hAnsi="Times New Roman" w:cs="Times New Roman"/>
                <w:sz w:val="24"/>
                <w:szCs w:val="24"/>
              </w:rPr>
            </w:pPr>
            <w:r w:rsidRPr="00993E80">
              <w:rPr>
                <w:rFonts w:ascii="Times New Roman" w:hAnsi="Times New Roman" w:cs="Times New Roman"/>
                <w:sz w:val="24"/>
                <w:szCs w:val="24"/>
              </w:rPr>
              <w:t>2010 (December)</w:t>
            </w:r>
          </w:p>
        </w:tc>
      </w:tr>
      <w:tr w:rsidR="00850CC1" w:rsidRPr="00993E80" w:rsidTr="00A4121E">
        <w:trPr>
          <w:jc w:val="center"/>
        </w:trPr>
        <w:tc>
          <w:tcPr>
            <w:tcW w:w="2178" w:type="dxa"/>
          </w:tcPr>
          <w:p w:rsidR="00850CC1" w:rsidRPr="00993E80" w:rsidRDefault="00850CC1" w:rsidP="00993E80">
            <w:pPr>
              <w:spacing w:after="120"/>
              <w:rPr>
                <w:rFonts w:ascii="Times New Roman" w:hAnsi="Times New Roman" w:cs="Times New Roman"/>
                <w:sz w:val="24"/>
                <w:szCs w:val="24"/>
              </w:rPr>
            </w:pPr>
            <w:r w:rsidRPr="00993E80">
              <w:rPr>
                <w:rFonts w:ascii="Times New Roman" w:hAnsi="Times New Roman" w:cs="Times New Roman"/>
                <w:sz w:val="24"/>
                <w:szCs w:val="24"/>
              </w:rPr>
              <w:t>Prime</w:t>
            </w:r>
            <w:r w:rsidR="00A4121E" w:rsidRPr="00993E80">
              <w:rPr>
                <w:rFonts w:ascii="Times New Roman" w:hAnsi="Times New Roman" w:cs="Times New Roman"/>
                <w:sz w:val="24"/>
                <w:szCs w:val="24"/>
              </w:rPr>
              <w:t xml:space="preserve"> Fixed</w:t>
            </w:r>
          </w:p>
        </w:tc>
        <w:tc>
          <w:tcPr>
            <w:tcW w:w="2340" w:type="dxa"/>
            <w:tcBorders>
              <w:top w:val="single" w:sz="4" w:space="0" w:color="auto"/>
            </w:tcBorders>
          </w:tcPr>
          <w:p w:rsidR="00850CC1" w:rsidRPr="00993E80" w:rsidRDefault="00A4121E" w:rsidP="00993E80">
            <w:pPr>
              <w:tabs>
                <w:tab w:val="decimal" w:pos="963"/>
              </w:tabs>
              <w:spacing w:after="120"/>
              <w:rPr>
                <w:rFonts w:ascii="Times New Roman" w:hAnsi="Times New Roman" w:cs="Times New Roman"/>
                <w:sz w:val="24"/>
                <w:szCs w:val="24"/>
              </w:rPr>
            </w:pPr>
            <w:r w:rsidRPr="00993E80">
              <w:rPr>
                <w:rFonts w:ascii="Times New Roman" w:hAnsi="Times New Roman" w:cs="Times New Roman"/>
                <w:sz w:val="24"/>
                <w:szCs w:val="24"/>
              </w:rPr>
              <w:t>2.4</w:t>
            </w:r>
          </w:p>
        </w:tc>
        <w:tc>
          <w:tcPr>
            <w:tcW w:w="2340" w:type="dxa"/>
            <w:tcBorders>
              <w:top w:val="single" w:sz="4" w:space="0" w:color="auto"/>
            </w:tcBorders>
          </w:tcPr>
          <w:p w:rsidR="00850CC1" w:rsidRPr="00993E80" w:rsidRDefault="00A4121E" w:rsidP="00993E80">
            <w:pPr>
              <w:tabs>
                <w:tab w:val="decimal" w:pos="906"/>
              </w:tabs>
              <w:spacing w:after="120"/>
              <w:rPr>
                <w:rFonts w:ascii="Times New Roman" w:hAnsi="Times New Roman" w:cs="Times New Roman"/>
                <w:sz w:val="24"/>
                <w:szCs w:val="24"/>
              </w:rPr>
            </w:pPr>
            <w:r w:rsidRPr="00993E80">
              <w:rPr>
                <w:rFonts w:ascii="Times New Roman" w:hAnsi="Times New Roman" w:cs="Times New Roman"/>
                <w:sz w:val="24"/>
                <w:szCs w:val="24"/>
              </w:rPr>
              <w:t>4.5</w:t>
            </w:r>
          </w:p>
        </w:tc>
      </w:tr>
      <w:tr w:rsidR="00850CC1" w:rsidRPr="00993E80" w:rsidTr="00A4121E">
        <w:trPr>
          <w:jc w:val="center"/>
        </w:trPr>
        <w:tc>
          <w:tcPr>
            <w:tcW w:w="2178" w:type="dxa"/>
          </w:tcPr>
          <w:p w:rsidR="00850CC1" w:rsidRPr="00993E80" w:rsidRDefault="00A4121E" w:rsidP="00993E80">
            <w:pPr>
              <w:spacing w:after="120"/>
              <w:rPr>
                <w:rFonts w:ascii="Times New Roman" w:hAnsi="Times New Roman" w:cs="Times New Roman"/>
                <w:sz w:val="24"/>
                <w:szCs w:val="24"/>
              </w:rPr>
            </w:pPr>
            <w:r w:rsidRPr="00993E80">
              <w:rPr>
                <w:rFonts w:ascii="Times New Roman" w:hAnsi="Times New Roman" w:cs="Times New Roman"/>
                <w:sz w:val="24"/>
                <w:szCs w:val="24"/>
              </w:rPr>
              <w:t>Prime ARM</w:t>
            </w:r>
          </w:p>
        </w:tc>
        <w:tc>
          <w:tcPr>
            <w:tcW w:w="2340" w:type="dxa"/>
          </w:tcPr>
          <w:p w:rsidR="00850CC1" w:rsidRPr="00993E80" w:rsidRDefault="00A4121E" w:rsidP="00993E80">
            <w:pPr>
              <w:tabs>
                <w:tab w:val="decimal" w:pos="963"/>
              </w:tabs>
              <w:spacing w:after="120"/>
              <w:rPr>
                <w:rFonts w:ascii="Times New Roman" w:hAnsi="Times New Roman" w:cs="Times New Roman"/>
                <w:sz w:val="24"/>
                <w:szCs w:val="24"/>
              </w:rPr>
            </w:pPr>
            <w:r w:rsidRPr="00993E80">
              <w:rPr>
                <w:rFonts w:ascii="Times New Roman" w:hAnsi="Times New Roman" w:cs="Times New Roman"/>
                <w:sz w:val="24"/>
                <w:szCs w:val="24"/>
              </w:rPr>
              <w:t>3.0</w:t>
            </w:r>
          </w:p>
        </w:tc>
        <w:tc>
          <w:tcPr>
            <w:tcW w:w="2340" w:type="dxa"/>
          </w:tcPr>
          <w:p w:rsidR="00850CC1" w:rsidRPr="00993E80" w:rsidRDefault="00A4121E" w:rsidP="00993E80">
            <w:pPr>
              <w:tabs>
                <w:tab w:val="decimal" w:pos="906"/>
              </w:tabs>
              <w:spacing w:after="120"/>
              <w:rPr>
                <w:rFonts w:ascii="Times New Roman" w:hAnsi="Times New Roman" w:cs="Times New Roman"/>
                <w:sz w:val="24"/>
                <w:szCs w:val="24"/>
              </w:rPr>
            </w:pPr>
            <w:r w:rsidRPr="00993E80">
              <w:rPr>
                <w:rFonts w:ascii="Times New Roman" w:hAnsi="Times New Roman" w:cs="Times New Roman"/>
                <w:sz w:val="24"/>
                <w:szCs w:val="24"/>
              </w:rPr>
              <w:t>9.3</w:t>
            </w:r>
          </w:p>
        </w:tc>
      </w:tr>
      <w:tr w:rsidR="00850CC1" w:rsidRPr="00993E80" w:rsidTr="00A4121E">
        <w:trPr>
          <w:jc w:val="center"/>
        </w:trPr>
        <w:tc>
          <w:tcPr>
            <w:tcW w:w="2178" w:type="dxa"/>
          </w:tcPr>
          <w:p w:rsidR="00850CC1" w:rsidRPr="00993E80" w:rsidRDefault="00A4121E" w:rsidP="00993E80">
            <w:pPr>
              <w:spacing w:after="120"/>
              <w:rPr>
                <w:rFonts w:ascii="Times New Roman" w:hAnsi="Times New Roman" w:cs="Times New Roman"/>
                <w:sz w:val="24"/>
                <w:szCs w:val="24"/>
              </w:rPr>
            </w:pPr>
            <w:r w:rsidRPr="00993E80">
              <w:rPr>
                <w:rFonts w:ascii="Times New Roman" w:hAnsi="Times New Roman" w:cs="Times New Roman"/>
                <w:sz w:val="24"/>
                <w:szCs w:val="24"/>
              </w:rPr>
              <w:t>Subprime Fixed</w:t>
            </w:r>
          </w:p>
        </w:tc>
        <w:tc>
          <w:tcPr>
            <w:tcW w:w="2340" w:type="dxa"/>
          </w:tcPr>
          <w:p w:rsidR="00850CC1" w:rsidRPr="00993E80" w:rsidRDefault="00A4121E" w:rsidP="00993E80">
            <w:pPr>
              <w:tabs>
                <w:tab w:val="decimal" w:pos="963"/>
              </w:tabs>
              <w:spacing w:after="120"/>
              <w:rPr>
                <w:rFonts w:ascii="Times New Roman" w:hAnsi="Times New Roman" w:cs="Times New Roman"/>
                <w:sz w:val="24"/>
                <w:szCs w:val="24"/>
              </w:rPr>
            </w:pPr>
            <w:r w:rsidRPr="00993E80">
              <w:rPr>
                <w:rFonts w:ascii="Times New Roman" w:hAnsi="Times New Roman" w:cs="Times New Roman"/>
                <w:sz w:val="24"/>
                <w:szCs w:val="24"/>
              </w:rPr>
              <w:t>11.6</w:t>
            </w:r>
          </w:p>
        </w:tc>
        <w:tc>
          <w:tcPr>
            <w:tcW w:w="2340" w:type="dxa"/>
          </w:tcPr>
          <w:p w:rsidR="00850CC1" w:rsidRPr="00993E80" w:rsidRDefault="00A4121E" w:rsidP="00993E80">
            <w:pPr>
              <w:tabs>
                <w:tab w:val="decimal" w:pos="906"/>
              </w:tabs>
              <w:spacing w:after="120"/>
              <w:rPr>
                <w:rFonts w:ascii="Times New Roman" w:hAnsi="Times New Roman" w:cs="Times New Roman"/>
                <w:sz w:val="24"/>
                <w:szCs w:val="24"/>
              </w:rPr>
            </w:pPr>
            <w:r w:rsidRPr="00993E80">
              <w:rPr>
                <w:rFonts w:ascii="Times New Roman" w:hAnsi="Times New Roman" w:cs="Times New Roman"/>
                <w:sz w:val="24"/>
                <w:szCs w:val="24"/>
              </w:rPr>
              <w:t>25.5</w:t>
            </w:r>
          </w:p>
        </w:tc>
      </w:tr>
      <w:tr w:rsidR="00850CC1" w:rsidRPr="00993E80" w:rsidTr="00A4121E">
        <w:trPr>
          <w:jc w:val="center"/>
        </w:trPr>
        <w:tc>
          <w:tcPr>
            <w:tcW w:w="2178" w:type="dxa"/>
            <w:tcBorders>
              <w:bottom w:val="single" w:sz="4" w:space="0" w:color="auto"/>
            </w:tcBorders>
          </w:tcPr>
          <w:p w:rsidR="00850CC1" w:rsidRPr="00993E80" w:rsidRDefault="00A4121E" w:rsidP="00993E80">
            <w:pPr>
              <w:spacing w:after="120"/>
              <w:rPr>
                <w:rFonts w:ascii="Times New Roman" w:hAnsi="Times New Roman" w:cs="Times New Roman"/>
                <w:sz w:val="24"/>
                <w:szCs w:val="24"/>
              </w:rPr>
            </w:pPr>
            <w:r w:rsidRPr="00993E80">
              <w:rPr>
                <w:rFonts w:ascii="Times New Roman" w:hAnsi="Times New Roman" w:cs="Times New Roman"/>
                <w:sz w:val="24"/>
                <w:szCs w:val="24"/>
              </w:rPr>
              <w:t>Subprime ARM</w:t>
            </w:r>
          </w:p>
        </w:tc>
        <w:tc>
          <w:tcPr>
            <w:tcW w:w="2340" w:type="dxa"/>
            <w:tcBorders>
              <w:bottom w:val="single" w:sz="4" w:space="0" w:color="auto"/>
            </w:tcBorders>
          </w:tcPr>
          <w:p w:rsidR="00850CC1" w:rsidRPr="00993E80" w:rsidRDefault="00A4121E" w:rsidP="00993E80">
            <w:pPr>
              <w:tabs>
                <w:tab w:val="decimal" w:pos="963"/>
              </w:tabs>
              <w:spacing w:after="120"/>
              <w:rPr>
                <w:rFonts w:ascii="Times New Roman" w:hAnsi="Times New Roman" w:cs="Times New Roman"/>
                <w:sz w:val="24"/>
                <w:szCs w:val="24"/>
              </w:rPr>
            </w:pPr>
            <w:r w:rsidRPr="00993E80">
              <w:rPr>
                <w:rFonts w:ascii="Times New Roman" w:hAnsi="Times New Roman" w:cs="Times New Roman"/>
                <w:sz w:val="24"/>
                <w:szCs w:val="24"/>
              </w:rPr>
              <w:t>16.5</w:t>
            </w:r>
          </w:p>
        </w:tc>
        <w:tc>
          <w:tcPr>
            <w:tcW w:w="2340" w:type="dxa"/>
            <w:tcBorders>
              <w:bottom w:val="single" w:sz="4" w:space="0" w:color="auto"/>
            </w:tcBorders>
          </w:tcPr>
          <w:p w:rsidR="00850CC1" w:rsidRPr="00993E80" w:rsidRDefault="00A4121E" w:rsidP="00993E80">
            <w:pPr>
              <w:tabs>
                <w:tab w:val="decimal" w:pos="906"/>
              </w:tabs>
              <w:spacing w:after="120"/>
              <w:rPr>
                <w:rFonts w:ascii="Times New Roman" w:hAnsi="Times New Roman" w:cs="Times New Roman"/>
                <w:sz w:val="24"/>
                <w:szCs w:val="24"/>
              </w:rPr>
            </w:pPr>
            <w:r w:rsidRPr="00993E80">
              <w:rPr>
                <w:rFonts w:ascii="Times New Roman" w:hAnsi="Times New Roman" w:cs="Times New Roman"/>
                <w:sz w:val="24"/>
                <w:szCs w:val="24"/>
              </w:rPr>
              <w:t>34.5</w:t>
            </w:r>
          </w:p>
        </w:tc>
      </w:tr>
    </w:tbl>
    <w:p w:rsidR="00850CC1" w:rsidRPr="00993E80" w:rsidRDefault="00A4121E" w:rsidP="00993E80">
      <w:pPr>
        <w:autoSpaceDE w:val="0"/>
        <w:autoSpaceDN w:val="0"/>
        <w:adjustRightInd w:val="0"/>
        <w:spacing w:after="120" w:line="240" w:lineRule="auto"/>
        <w:ind w:left="1440"/>
        <w:rPr>
          <w:rFonts w:ascii="Times New Roman" w:hAnsi="Times New Roman" w:cs="Times New Roman"/>
          <w:bCs/>
          <w:sz w:val="24"/>
          <w:szCs w:val="24"/>
          <w:u w:val="single"/>
        </w:rPr>
      </w:pPr>
      <w:r w:rsidRPr="00993E80">
        <w:rPr>
          <w:rFonts w:ascii="Times New Roman" w:hAnsi="Times New Roman" w:cs="Times New Roman"/>
          <w:sz w:val="24"/>
          <w:szCs w:val="24"/>
        </w:rPr>
        <w:t xml:space="preserve">Source: LPS Analytics; reported in </w:t>
      </w:r>
      <w:r w:rsidRPr="00993E80">
        <w:rPr>
          <w:rFonts w:ascii="Times New Roman" w:hAnsi="Times New Roman" w:cs="Times New Roman"/>
          <w:bCs/>
          <w:sz w:val="24"/>
          <w:szCs w:val="24"/>
          <w:u w:val="single"/>
        </w:rPr>
        <w:t>Philadelphia Residential Mortgage Foreclosure Diversion Program: Initial Report of Findings</w:t>
      </w:r>
      <w:r w:rsidRPr="00993E80">
        <w:rPr>
          <w:rFonts w:ascii="Times New Roman" w:hAnsi="Times New Roman" w:cs="Times New Roman"/>
          <w:sz w:val="24"/>
          <w:szCs w:val="24"/>
        </w:rPr>
        <w:t>, Philadelphia: The Reinvestment Fund</w:t>
      </w:r>
    </w:p>
    <w:p w:rsidR="00A4121E" w:rsidRPr="00993E80" w:rsidRDefault="00A4121E" w:rsidP="00993E80">
      <w:pPr>
        <w:spacing w:after="120"/>
        <w:rPr>
          <w:rFonts w:ascii="Times New Roman" w:hAnsi="Times New Roman" w:cs="Times New Roman"/>
          <w:sz w:val="24"/>
          <w:szCs w:val="24"/>
        </w:rPr>
      </w:pPr>
    </w:p>
    <w:p w:rsidR="00EC5DB6" w:rsidRPr="00993E80" w:rsidRDefault="00EC5DB6" w:rsidP="00993E80">
      <w:pPr>
        <w:autoSpaceDE w:val="0"/>
        <w:autoSpaceDN w:val="0"/>
        <w:adjustRightInd w:val="0"/>
        <w:spacing w:after="120" w:line="30" w:lineRule="exact"/>
        <w:rPr>
          <w:rFonts w:ascii="Times New Roman" w:hAnsi="Times New Roman" w:cs="Times New Roman"/>
          <w:sz w:val="24"/>
          <w:szCs w:val="24"/>
        </w:rPr>
      </w:pPr>
    </w:p>
    <w:p w:rsidR="003F2312" w:rsidRDefault="003F2312" w:rsidP="00FC077B">
      <w:pPr>
        <w:spacing w:after="120" w:line="240" w:lineRule="auto"/>
        <w:rPr>
          <w:rFonts w:ascii="Times New Roman" w:hAnsi="Times New Roman" w:cs="Times New Roman"/>
          <w:b/>
          <w:bCs/>
          <w:position w:val="1"/>
          <w:sz w:val="24"/>
          <w:szCs w:val="24"/>
        </w:rPr>
      </w:pPr>
    </w:p>
    <w:p w:rsidR="003F2312" w:rsidRDefault="003F2312" w:rsidP="00FC077B">
      <w:pPr>
        <w:spacing w:after="120" w:line="240" w:lineRule="auto"/>
        <w:rPr>
          <w:rFonts w:ascii="Times New Roman" w:hAnsi="Times New Roman" w:cs="Times New Roman"/>
          <w:b/>
          <w:bCs/>
          <w:position w:val="1"/>
          <w:sz w:val="24"/>
          <w:szCs w:val="24"/>
        </w:rPr>
      </w:pPr>
    </w:p>
    <w:p w:rsidR="00EC5DB6" w:rsidRDefault="00FC077B" w:rsidP="00FC077B">
      <w:pPr>
        <w:spacing w:after="120" w:line="240" w:lineRule="auto"/>
        <w:rPr>
          <w:rFonts w:ascii="Times New Roman" w:hAnsi="Times New Roman" w:cs="Times New Roman"/>
          <w:bCs/>
          <w:position w:val="1"/>
          <w:sz w:val="24"/>
          <w:szCs w:val="24"/>
        </w:rPr>
      </w:pPr>
      <w:r w:rsidRPr="00303648">
        <w:rPr>
          <w:rFonts w:ascii="Times New Roman" w:hAnsi="Times New Roman" w:cs="Times New Roman"/>
          <w:b/>
          <w:bCs/>
          <w:position w:val="1"/>
          <w:sz w:val="24"/>
          <w:szCs w:val="24"/>
        </w:rPr>
        <w:lastRenderedPageBreak/>
        <w:t>Active Organizations/Efforts</w:t>
      </w:r>
      <w:r>
        <w:rPr>
          <w:rFonts w:ascii="Times New Roman" w:hAnsi="Times New Roman" w:cs="Times New Roman"/>
          <w:bCs/>
          <w:position w:val="1"/>
          <w:sz w:val="24"/>
          <w:szCs w:val="24"/>
        </w:rPr>
        <w:t>:</w:t>
      </w:r>
    </w:p>
    <w:p w:rsidR="00FC077B" w:rsidRDefault="00FC077B" w:rsidP="00FC077B">
      <w:pPr>
        <w:spacing w:after="120" w:line="240" w:lineRule="auto"/>
        <w:rPr>
          <w:rFonts w:ascii="Times New Roman" w:hAnsi="Times New Roman" w:cs="Times New Roman"/>
          <w:sz w:val="24"/>
          <w:szCs w:val="24"/>
        </w:rPr>
      </w:pPr>
      <w:r>
        <w:rPr>
          <w:rFonts w:ascii="Times New Roman" w:hAnsi="Times New Roman" w:cs="Times New Roman"/>
          <w:sz w:val="24"/>
          <w:szCs w:val="24"/>
        </w:rPr>
        <w:t>There is a diverse group of interested participants in determining the scope of the issues involved, as well as strategies to be developed. In no particular order:</w:t>
      </w:r>
    </w:p>
    <w:p w:rsidR="00FC077B" w:rsidRDefault="00FC077B" w:rsidP="00FC077B">
      <w:pPr>
        <w:pStyle w:val="ListParagraph"/>
        <w:numPr>
          <w:ilvl w:val="0"/>
          <w:numId w:val="3"/>
        </w:numPr>
        <w:spacing w:after="120" w:line="240" w:lineRule="auto"/>
        <w:rPr>
          <w:rFonts w:ascii="Times New Roman" w:hAnsi="Times New Roman" w:cs="Times New Roman"/>
          <w:sz w:val="24"/>
          <w:szCs w:val="24"/>
        </w:rPr>
      </w:pPr>
      <w:r>
        <w:rPr>
          <w:rFonts w:ascii="Times New Roman" w:hAnsi="Times New Roman" w:cs="Times New Roman"/>
          <w:sz w:val="24"/>
          <w:szCs w:val="24"/>
        </w:rPr>
        <w:t>Counting and locating properties: V</w:t>
      </w:r>
      <w:r w:rsidR="00303648">
        <w:rPr>
          <w:rFonts w:ascii="Times New Roman" w:hAnsi="Times New Roman" w:cs="Times New Roman"/>
          <w:sz w:val="24"/>
          <w:szCs w:val="24"/>
        </w:rPr>
        <w:t>a</w:t>
      </w:r>
      <w:r>
        <w:rPr>
          <w:rFonts w:ascii="Times New Roman" w:hAnsi="Times New Roman" w:cs="Times New Roman"/>
          <w:sz w:val="24"/>
          <w:szCs w:val="24"/>
        </w:rPr>
        <w:t>cant Land Task Force, Redevelopment Authority,</w:t>
      </w:r>
      <w:r w:rsidR="00303648">
        <w:rPr>
          <w:rFonts w:ascii="Times New Roman" w:hAnsi="Times New Roman" w:cs="Times New Roman"/>
          <w:sz w:val="24"/>
          <w:szCs w:val="24"/>
        </w:rPr>
        <w:t xml:space="preserve"> </w:t>
      </w:r>
      <w:proofErr w:type="spellStart"/>
      <w:r w:rsidR="00303648">
        <w:rPr>
          <w:rFonts w:ascii="Times New Roman" w:hAnsi="Times New Roman" w:cs="Times New Roman"/>
          <w:sz w:val="24"/>
          <w:szCs w:val="24"/>
        </w:rPr>
        <w:t>PlanPhilly</w:t>
      </w:r>
      <w:proofErr w:type="spellEnd"/>
      <w:r w:rsidR="00303648">
        <w:rPr>
          <w:rFonts w:ascii="Times New Roman" w:hAnsi="Times New Roman" w:cs="Times New Roman"/>
          <w:sz w:val="24"/>
          <w:szCs w:val="24"/>
        </w:rPr>
        <w:t>, local foundations, The Reinvestment Fund</w:t>
      </w:r>
    </w:p>
    <w:p w:rsidR="00303648" w:rsidRDefault="00303648" w:rsidP="00FC077B">
      <w:pPr>
        <w:pStyle w:val="ListParagraph"/>
        <w:numPr>
          <w:ilvl w:val="0"/>
          <w:numId w:val="3"/>
        </w:numPr>
        <w:spacing w:after="120" w:line="240" w:lineRule="auto"/>
        <w:rPr>
          <w:rFonts w:ascii="Times New Roman" w:hAnsi="Times New Roman" w:cs="Times New Roman"/>
          <w:sz w:val="24"/>
          <w:szCs w:val="24"/>
        </w:rPr>
      </w:pPr>
      <w:r>
        <w:rPr>
          <w:rFonts w:ascii="Times New Roman" w:hAnsi="Times New Roman" w:cs="Times New Roman"/>
          <w:sz w:val="24"/>
          <w:szCs w:val="24"/>
        </w:rPr>
        <w:t>Foreclosure Support: The Reinvestment Fund, Community Legal Services, Sheriff’s Department</w:t>
      </w:r>
    </w:p>
    <w:p w:rsidR="000402A6" w:rsidRPr="00303648" w:rsidRDefault="00303648" w:rsidP="00FC077B">
      <w:pPr>
        <w:pStyle w:val="ListParagraph"/>
        <w:numPr>
          <w:ilvl w:val="0"/>
          <w:numId w:val="3"/>
        </w:num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Land Banking: Vacant Land Task Force, </w:t>
      </w:r>
      <w:r w:rsidR="000402A6" w:rsidRPr="00303648">
        <w:rPr>
          <w:rFonts w:ascii="Times New Roman" w:hAnsi="Times New Roman" w:cs="Times New Roman"/>
          <w:sz w:val="24"/>
          <w:szCs w:val="24"/>
        </w:rPr>
        <w:t>Philadelphia Horticultural Society (Ph</w:t>
      </w:r>
      <w:r>
        <w:rPr>
          <w:rFonts w:ascii="Times New Roman" w:hAnsi="Times New Roman" w:cs="Times New Roman"/>
          <w:sz w:val="24"/>
          <w:szCs w:val="24"/>
        </w:rPr>
        <w:t>iladelphia Green); PACDC; a partial listing of active organizations includes:</w:t>
      </w:r>
    </w:p>
    <w:p w:rsidR="0032289E" w:rsidRDefault="0032289E" w:rsidP="0032289E">
      <w:pPr>
        <w:spacing w:after="120" w:line="240" w:lineRule="auto"/>
        <w:rPr>
          <w:rFonts w:ascii="Times New Roman" w:hAnsi="Times New Roman" w:cs="Times New Roman"/>
          <w:sz w:val="24"/>
          <w:szCs w:val="24"/>
        </w:rPr>
      </w:pPr>
    </w:p>
    <w:p w:rsidR="00407B09" w:rsidRPr="0032289E" w:rsidRDefault="000402A6" w:rsidP="0032289E">
      <w:pPr>
        <w:spacing w:after="120" w:line="240" w:lineRule="auto"/>
        <w:rPr>
          <w:rFonts w:ascii="Times New Roman" w:hAnsi="Times New Roman" w:cs="Times New Roman"/>
          <w:sz w:val="24"/>
          <w:szCs w:val="24"/>
        </w:rPr>
      </w:pPr>
      <w:r w:rsidRPr="00993E80">
        <w:rPr>
          <w:rFonts w:ascii="Times New Roman" w:hAnsi="Times New Roman" w:cs="Times New Roman"/>
          <w:b/>
          <w:bCs/>
          <w:sz w:val="24"/>
          <w:szCs w:val="24"/>
        </w:rPr>
        <w:t>Centro Pedro Claver, Inc.</w:t>
      </w:r>
      <w:r w:rsidR="00303648">
        <w:rPr>
          <w:rFonts w:ascii="Times New Roman" w:hAnsi="Times New Roman" w:cs="Times New Roman"/>
          <w:b/>
          <w:bCs/>
          <w:sz w:val="24"/>
          <w:szCs w:val="24"/>
        </w:rPr>
        <w:t xml:space="preserve">: </w:t>
      </w:r>
      <w:r w:rsidRPr="00993E80">
        <w:rPr>
          <w:rFonts w:ascii="Times New Roman" w:hAnsi="Times New Roman" w:cs="Times New Roman"/>
          <w:sz w:val="24"/>
          <w:szCs w:val="24"/>
        </w:rPr>
        <w:t>community-based</w:t>
      </w:r>
      <w:r w:rsidR="00303648">
        <w:rPr>
          <w:rFonts w:ascii="Times New Roman" w:hAnsi="Times New Roman" w:cs="Times New Roman"/>
          <w:b/>
          <w:bCs/>
          <w:sz w:val="24"/>
          <w:szCs w:val="24"/>
        </w:rPr>
        <w:t xml:space="preserve"> </w:t>
      </w:r>
      <w:r w:rsidRPr="00993E80">
        <w:rPr>
          <w:rFonts w:ascii="Times New Roman" w:hAnsi="Times New Roman" w:cs="Times New Roman"/>
          <w:sz w:val="24"/>
          <w:szCs w:val="24"/>
        </w:rPr>
        <w:t xml:space="preserve">agency primarily serving low-income residents </w:t>
      </w:r>
      <w:r w:rsidR="00800D10" w:rsidRPr="00993E80">
        <w:rPr>
          <w:rFonts w:ascii="Times New Roman" w:hAnsi="Times New Roman" w:cs="Times New Roman"/>
          <w:sz w:val="24"/>
          <w:szCs w:val="24"/>
        </w:rPr>
        <w:t>in the</w:t>
      </w:r>
      <w:r w:rsidRPr="00993E80">
        <w:rPr>
          <w:rFonts w:ascii="Times New Roman" w:hAnsi="Times New Roman" w:cs="Times New Roman"/>
          <w:sz w:val="24"/>
          <w:szCs w:val="24"/>
        </w:rPr>
        <w:t xml:space="preserve"> Franklinville section of Eastern North</w:t>
      </w:r>
      <w:r w:rsidR="00303648">
        <w:rPr>
          <w:rFonts w:ascii="Times New Roman" w:hAnsi="Times New Roman" w:cs="Times New Roman"/>
          <w:b/>
          <w:bCs/>
          <w:sz w:val="24"/>
          <w:szCs w:val="24"/>
        </w:rPr>
        <w:t xml:space="preserve"> </w:t>
      </w:r>
      <w:r w:rsidRPr="00993E80">
        <w:rPr>
          <w:rFonts w:ascii="Times New Roman" w:hAnsi="Times New Roman" w:cs="Times New Roman"/>
          <w:sz w:val="24"/>
          <w:szCs w:val="24"/>
        </w:rPr>
        <w:t xml:space="preserve">Philadelphia. </w:t>
      </w:r>
    </w:p>
    <w:p w:rsidR="000402A6" w:rsidRPr="00993E80" w:rsidRDefault="000402A6" w:rsidP="00303648">
      <w:pPr>
        <w:autoSpaceDE w:val="0"/>
        <w:autoSpaceDN w:val="0"/>
        <w:adjustRightInd w:val="0"/>
        <w:spacing w:after="120" w:line="240" w:lineRule="auto"/>
        <w:rPr>
          <w:rFonts w:ascii="Times New Roman" w:hAnsi="Times New Roman" w:cs="Times New Roman"/>
          <w:sz w:val="24"/>
          <w:szCs w:val="24"/>
        </w:rPr>
      </w:pPr>
      <w:r w:rsidRPr="00993E80">
        <w:rPr>
          <w:rFonts w:ascii="Times New Roman" w:hAnsi="Times New Roman" w:cs="Times New Roman"/>
          <w:b/>
          <w:bCs/>
          <w:sz w:val="24"/>
          <w:szCs w:val="24"/>
        </w:rPr>
        <w:t>East Park Revitalization Alliance</w:t>
      </w:r>
      <w:r w:rsidR="00303648">
        <w:rPr>
          <w:rFonts w:ascii="Times New Roman" w:hAnsi="Times New Roman" w:cs="Times New Roman"/>
          <w:b/>
          <w:bCs/>
          <w:sz w:val="24"/>
          <w:szCs w:val="24"/>
        </w:rPr>
        <w:t>:</w:t>
      </w:r>
      <w:r w:rsidRPr="00993E80">
        <w:rPr>
          <w:rFonts w:ascii="Times New Roman" w:hAnsi="Times New Roman" w:cs="Times New Roman"/>
          <w:sz w:val="24"/>
          <w:szCs w:val="24"/>
        </w:rPr>
        <w:t xml:space="preserve"> (EPRA) </w:t>
      </w:r>
      <w:r w:rsidR="00303648">
        <w:rPr>
          <w:rFonts w:ascii="Times New Roman" w:hAnsi="Times New Roman" w:cs="Times New Roman"/>
          <w:sz w:val="24"/>
          <w:szCs w:val="24"/>
        </w:rPr>
        <w:t>is</w:t>
      </w:r>
      <w:r w:rsidRPr="00993E80">
        <w:rPr>
          <w:rFonts w:ascii="Times New Roman" w:hAnsi="Times New Roman" w:cs="Times New Roman"/>
          <w:sz w:val="24"/>
          <w:szCs w:val="24"/>
        </w:rPr>
        <w:t xml:space="preserve"> a community-based project</w:t>
      </w:r>
      <w:r w:rsidR="00303648">
        <w:rPr>
          <w:rFonts w:ascii="Times New Roman" w:hAnsi="Times New Roman" w:cs="Times New Roman"/>
          <w:sz w:val="24"/>
          <w:szCs w:val="24"/>
        </w:rPr>
        <w:t xml:space="preserve"> </w:t>
      </w:r>
      <w:r w:rsidRPr="00993E80">
        <w:rPr>
          <w:rFonts w:ascii="Times New Roman" w:hAnsi="Times New Roman" w:cs="Times New Roman"/>
          <w:sz w:val="24"/>
          <w:szCs w:val="24"/>
        </w:rPr>
        <w:t>in the Strawberry Mansion section of North</w:t>
      </w:r>
      <w:r w:rsidR="00303648">
        <w:rPr>
          <w:rFonts w:ascii="Times New Roman" w:hAnsi="Times New Roman" w:cs="Times New Roman"/>
          <w:sz w:val="24"/>
          <w:szCs w:val="24"/>
        </w:rPr>
        <w:t xml:space="preserve"> </w:t>
      </w:r>
      <w:r w:rsidRPr="00993E80">
        <w:rPr>
          <w:rFonts w:ascii="Times New Roman" w:hAnsi="Times New Roman" w:cs="Times New Roman"/>
          <w:sz w:val="24"/>
          <w:szCs w:val="24"/>
        </w:rPr>
        <w:t xml:space="preserve">Philadelphia. </w:t>
      </w:r>
    </w:p>
    <w:p w:rsidR="000402A6" w:rsidRPr="00993E80" w:rsidRDefault="000402A6" w:rsidP="00FC077B">
      <w:pPr>
        <w:autoSpaceDE w:val="0"/>
        <w:autoSpaceDN w:val="0"/>
        <w:adjustRightInd w:val="0"/>
        <w:spacing w:after="120" w:line="240" w:lineRule="auto"/>
        <w:rPr>
          <w:rFonts w:ascii="Times New Roman" w:hAnsi="Times New Roman" w:cs="Times New Roman"/>
          <w:sz w:val="24"/>
          <w:szCs w:val="24"/>
        </w:rPr>
      </w:pPr>
      <w:r w:rsidRPr="00303648">
        <w:rPr>
          <w:rFonts w:ascii="Times New Roman" w:hAnsi="Times New Roman" w:cs="Times New Roman"/>
          <w:b/>
          <w:sz w:val="24"/>
          <w:szCs w:val="24"/>
        </w:rPr>
        <w:t xml:space="preserve">Community </w:t>
      </w:r>
      <w:proofErr w:type="spellStart"/>
      <w:r w:rsidRPr="00303648">
        <w:rPr>
          <w:rFonts w:ascii="Times New Roman" w:hAnsi="Times New Roman" w:cs="Times New Roman"/>
          <w:b/>
          <w:sz w:val="24"/>
          <w:szCs w:val="24"/>
        </w:rPr>
        <w:t>LandCare</w:t>
      </w:r>
      <w:proofErr w:type="spellEnd"/>
      <w:r w:rsidR="00303648">
        <w:rPr>
          <w:rFonts w:ascii="Times New Roman" w:hAnsi="Times New Roman" w:cs="Times New Roman"/>
          <w:sz w:val="24"/>
          <w:szCs w:val="24"/>
        </w:rPr>
        <w:t>:</w:t>
      </w:r>
      <w:r w:rsidRPr="00993E80">
        <w:rPr>
          <w:rFonts w:ascii="Times New Roman" w:hAnsi="Times New Roman" w:cs="Times New Roman"/>
          <w:sz w:val="24"/>
          <w:szCs w:val="24"/>
        </w:rPr>
        <w:t xml:space="preserve"> </w:t>
      </w:r>
      <w:r w:rsidR="00303648">
        <w:rPr>
          <w:rFonts w:ascii="Times New Roman" w:hAnsi="Times New Roman" w:cs="Times New Roman"/>
          <w:sz w:val="24"/>
          <w:szCs w:val="24"/>
        </w:rPr>
        <w:t>Staffed by</w:t>
      </w:r>
      <w:r w:rsidRPr="00993E80">
        <w:rPr>
          <w:rFonts w:ascii="Times New Roman" w:hAnsi="Times New Roman" w:cs="Times New Roman"/>
          <w:sz w:val="24"/>
          <w:szCs w:val="24"/>
        </w:rPr>
        <w:t xml:space="preserve"> 20 part-time</w:t>
      </w:r>
      <w:r w:rsidR="00303648">
        <w:rPr>
          <w:rFonts w:ascii="Times New Roman" w:hAnsi="Times New Roman" w:cs="Times New Roman"/>
          <w:sz w:val="24"/>
          <w:szCs w:val="24"/>
        </w:rPr>
        <w:t>rs</w:t>
      </w:r>
      <w:r w:rsidRPr="00993E80">
        <w:rPr>
          <w:rFonts w:ascii="Times New Roman" w:hAnsi="Times New Roman" w:cs="Times New Roman"/>
          <w:sz w:val="24"/>
          <w:szCs w:val="24"/>
        </w:rPr>
        <w:t xml:space="preserve">, </w:t>
      </w:r>
      <w:r w:rsidR="00303648">
        <w:rPr>
          <w:rFonts w:ascii="Times New Roman" w:hAnsi="Times New Roman" w:cs="Times New Roman"/>
          <w:sz w:val="24"/>
          <w:szCs w:val="24"/>
        </w:rPr>
        <w:t xml:space="preserve">develop an </w:t>
      </w:r>
      <w:r w:rsidRPr="00993E80">
        <w:rPr>
          <w:rFonts w:ascii="Times New Roman" w:hAnsi="Times New Roman" w:cs="Times New Roman"/>
          <w:sz w:val="24"/>
          <w:szCs w:val="24"/>
        </w:rPr>
        <w:t>8-person crew hired</w:t>
      </w:r>
      <w:r w:rsidR="00303648">
        <w:rPr>
          <w:rFonts w:ascii="Times New Roman" w:hAnsi="Times New Roman" w:cs="Times New Roman"/>
          <w:sz w:val="24"/>
          <w:szCs w:val="24"/>
        </w:rPr>
        <w:t xml:space="preserve"> directly from the neighborhoods of Strawberry Mansion and</w:t>
      </w:r>
      <w:r w:rsidRPr="00993E80">
        <w:rPr>
          <w:rFonts w:ascii="Times New Roman" w:hAnsi="Times New Roman" w:cs="Times New Roman"/>
          <w:sz w:val="24"/>
          <w:szCs w:val="24"/>
        </w:rPr>
        <w:t xml:space="preserve"> </w:t>
      </w:r>
      <w:proofErr w:type="spellStart"/>
      <w:r w:rsidRPr="00993E80">
        <w:rPr>
          <w:rFonts w:ascii="Times New Roman" w:hAnsi="Times New Roman" w:cs="Times New Roman"/>
          <w:sz w:val="24"/>
          <w:szCs w:val="24"/>
        </w:rPr>
        <w:t>Brewerytown</w:t>
      </w:r>
      <w:proofErr w:type="spellEnd"/>
      <w:r w:rsidR="00303648">
        <w:rPr>
          <w:rFonts w:ascii="Times New Roman" w:hAnsi="Times New Roman" w:cs="Times New Roman"/>
          <w:sz w:val="24"/>
          <w:szCs w:val="24"/>
        </w:rPr>
        <w:t>.</w:t>
      </w:r>
    </w:p>
    <w:p w:rsidR="00407B09" w:rsidRPr="00993E80" w:rsidRDefault="000402A6" w:rsidP="00FC077B">
      <w:pPr>
        <w:autoSpaceDE w:val="0"/>
        <w:autoSpaceDN w:val="0"/>
        <w:adjustRightInd w:val="0"/>
        <w:spacing w:after="120" w:line="240" w:lineRule="auto"/>
        <w:rPr>
          <w:rFonts w:ascii="Times New Roman" w:hAnsi="Times New Roman" w:cs="Times New Roman"/>
          <w:b/>
          <w:bCs/>
          <w:sz w:val="24"/>
          <w:szCs w:val="24"/>
        </w:rPr>
      </w:pPr>
      <w:r w:rsidRPr="00993E80">
        <w:rPr>
          <w:rFonts w:ascii="Times New Roman" w:hAnsi="Times New Roman" w:cs="Times New Roman"/>
          <w:b/>
          <w:bCs/>
          <w:sz w:val="24"/>
          <w:szCs w:val="24"/>
        </w:rPr>
        <w:t>New Kensington CDC</w:t>
      </w:r>
      <w:r w:rsidR="00303648">
        <w:rPr>
          <w:rFonts w:ascii="Times New Roman" w:hAnsi="Times New Roman" w:cs="Times New Roman"/>
          <w:b/>
          <w:bCs/>
          <w:sz w:val="24"/>
          <w:szCs w:val="24"/>
        </w:rPr>
        <w:t xml:space="preserve">: </w:t>
      </w:r>
      <w:r w:rsidRPr="00993E80">
        <w:rPr>
          <w:rFonts w:ascii="Times New Roman" w:hAnsi="Times New Roman" w:cs="Times New Roman"/>
          <w:sz w:val="24"/>
          <w:szCs w:val="24"/>
        </w:rPr>
        <w:t>New Kensington Community Development Corporation</w:t>
      </w:r>
      <w:r w:rsidR="00610D06">
        <w:rPr>
          <w:rFonts w:ascii="Times New Roman" w:hAnsi="Times New Roman" w:cs="Times New Roman"/>
          <w:b/>
          <w:bCs/>
          <w:sz w:val="24"/>
          <w:szCs w:val="24"/>
        </w:rPr>
        <w:t xml:space="preserve"> </w:t>
      </w:r>
      <w:r w:rsidR="00610D06" w:rsidRPr="00D959AA">
        <w:rPr>
          <w:rFonts w:ascii="Times New Roman" w:hAnsi="Times New Roman" w:cs="Times New Roman"/>
          <w:bCs/>
          <w:sz w:val="24"/>
          <w:szCs w:val="24"/>
        </w:rPr>
        <w:t>was</w:t>
      </w:r>
      <w:r w:rsidR="00610D06">
        <w:rPr>
          <w:rFonts w:ascii="Times New Roman" w:hAnsi="Times New Roman" w:cs="Times New Roman"/>
          <w:b/>
          <w:bCs/>
          <w:sz w:val="24"/>
          <w:szCs w:val="24"/>
        </w:rPr>
        <w:t xml:space="preserve"> </w:t>
      </w:r>
      <w:r w:rsidRPr="00993E80">
        <w:rPr>
          <w:rFonts w:ascii="Times New Roman" w:hAnsi="Times New Roman" w:cs="Times New Roman"/>
          <w:sz w:val="24"/>
          <w:szCs w:val="24"/>
        </w:rPr>
        <w:t>established to revitalize the New</w:t>
      </w:r>
      <w:r w:rsidR="00610D06">
        <w:rPr>
          <w:rFonts w:ascii="Times New Roman" w:hAnsi="Times New Roman" w:cs="Times New Roman"/>
          <w:b/>
          <w:bCs/>
          <w:sz w:val="24"/>
          <w:szCs w:val="24"/>
        </w:rPr>
        <w:t xml:space="preserve"> </w:t>
      </w:r>
      <w:r w:rsidRPr="00993E80">
        <w:rPr>
          <w:rFonts w:ascii="Times New Roman" w:hAnsi="Times New Roman" w:cs="Times New Roman"/>
          <w:sz w:val="24"/>
          <w:szCs w:val="24"/>
        </w:rPr>
        <w:t>Kensington/</w:t>
      </w:r>
      <w:proofErr w:type="spellStart"/>
      <w:r w:rsidRPr="00993E80">
        <w:rPr>
          <w:rFonts w:ascii="Times New Roman" w:hAnsi="Times New Roman" w:cs="Times New Roman"/>
          <w:sz w:val="24"/>
          <w:szCs w:val="24"/>
        </w:rPr>
        <w:t>Fishto</w:t>
      </w:r>
      <w:r w:rsidR="00610D06">
        <w:rPr>
          <w:rFonts w:ascii="Times New Roman" w:hAnsi="Times New Roman" w:cs="Times New Roman"/>
          <w:sz w:val="24"/>
          <w:szCs w:val="24"/>
        </w:rPr>
        <w:t>wn</w:t>
      </w:r>
      <w:proofErr w:type="spellEnd"/>
      <w:r w:rsidR="00610D06">
        <w:rPr>
          <w:rFonts w:ascii="Times New Roman" w:hAnsi="Times New Roman" w:cs="Times New Roman"/>
          <w:sz w:val="24"/>
          <w:szCs w:val="24"/>
        </w:rPr>
        <w:t xml:space="preserve"> and Port Richmond communities.</w:t>
      </w:r>
    </w:p>
    <w:p w:rsidR="00407B09" w:rsidRPr="00F7206F" w:rsidRDefault="000402A6" w:rsidP="00FC077B">
      <w:pPr>
        <w:autoSpaceDE w:val="0"/>
        <w:autoSpaceDN w:val="0"/>
        <w:adjustRightInd w:val="0"/>
        <w:spacing w:after="120" w:line="240" w:lineRule="auto"/>
        <w:rPr>
          <w:rFonts w:ascii="Times New Roman" w:hAnsi="Times New Roman" w:cs="Times New Roman"/>
          <w:bCs/>
          <w:sz w:val="24"/>
          <w:szCs w:val="24"/>
        </w:rPr>
      </w:pPr>
      <w:r w:rsidRPr="00993E80">
        <w:rPr>
          <w:rFonts w:ascii="Times New Roman" w:hAnsi="Times New Roman" w:cs="Times New Roman"/>
          <w:b/>
          <w:bCs/>
          <w:sz w:val="24"/>
          <w:szCs w:val="24"/>
        </w:rPr>
        <w:t>Ready, Willing &amp; Able</w:t>
      </w:r>
      <w:r w:rsidR="00F7206F">
        <w:rPr>
          <w:rFonts w:ascii="Times New Roman" w:hAnsi="Times New Roman" w:cs="Times New Roman"/>
          <w:bCs/>
          <w:sz w:val="24"/>
          <w:szCs w:val="24"/>
        </w:rPr>
        <w:t xml:space="preserve">: </w:t>
      </w:r>
      <w:r w:rsidR="00F7206F">
        <w:rPr>
          <w:rFonts w:ascii="Times New Roman" w:hAnsi="Times New Roman" w:cs="Times New Roman"/>
          <w:sz w:val="24"/>
          <w:szCs w:val="24"/>
        </w:rPr>
        <w:t>T</w:t>
      </w:r>
      <w:r w:rsidRPr="00993E80">
        <w:rPr>
          <w:rFonts w:ascii="Times New Roman" w:hAnsi="Times New Roman" w:cs="Times New Roman"/>
          <w:sz w:val="24"/>
          <w:szCs w:val="24"/>
        </w:rPr>
        <w:t>he Philadelphia</w:t>
      </w:r>
      <w:r w:rsidR="00F7206F">
        <w:rPr>
          <w:rFonts w:ascii="Times New Roman" w:hAnsi="Times New Roman" w:cs="Times New Roman"/>
          <w:bCs/>
          <w:sz w:val="24"/>
          <w:szCs w:val="24"/>
        </w:rPr>
        <w:t xml:space="preserve"> </w:t>
      </w:r>
      <w:r w:rsidRPr="00993E80">
        <w:rPr>
          <w:rFonts w:ascii="Times New Roman" w:hAnsi="Times New Roman" w:cs="Times New Roman"/>
          <w:sz w:val="24"/>
          <w:szCs w:val="24"/>
        </w:rPr>
        <w:t xml:space="preserve">chapter of Ready, Willing &amp; Able (RWA) </w:t>
      </w:r>
      <w:r w:rsidR="00F7206F">
        <w:rPr>
          <w:rFonts w:ascii="Times New Roman" w:hAnsi="Times New Roman" w:cs="Times New Roman"/>
          <w:sz w:val="24"/>
          <w:szCs w:val="24"/>
        </w:rPr>
        <w:t>is a</w:t>
      </w:r>
      <w:r w:rsidRPr="00993E80">
        <w:rPr>
          <w:rFonts w:ascii="Times New Roman" w:hAnsi="Times New Roman" w:cs="Times New Roman"/>
          <w:sz w:val="24"/>
          <w:szCs w:val="24"/>
        </w:rPr>
        <w:t xml:space="preserve"> residential work-training program </w:t>
      </w:r>
      <w:r w:rsidR="00F7206F">
        <w:rPr>
          <w:rFonts w:ascii="Times New Roman" w:hAnsi="Times New Roman" w:cs="Times New Roman"/>
          <w:sz w:val="24"/>
          <w:szCs w:val="24"/>
        </w:rPr>
        <w:t>working in</w:t>
      </w:r>
      <w:r w:rsidRPr="00993E80">
        <w:rPr>
          <w:rFonts w:ascii="Times New Roman" w:hAnsi="Times New Roman" w:cs="Times New Roman"/>
          <w:sz w:val="24"/>
          <w:szCs w:val="24"/>
        </w:rPr>
        <w:t xml:space="preserve"> Eastern North Philadelphia</w:t>
      </w:r>
      <w:r w:rsidR="00F7206F">
        <w:rPr>
          <w:rFonts w:ascii="Times New Roman" w:hAnsi="Times New Roman" w:cs="Times New Roman"/>
          <w:sz w:val="24"/>
          <w:szCs w:val="24"/>
        </w:rPr>
        <w:t>.</w:t>
      </w:r>
    </w:p>
    <w:p w:rsidR="00407B09" w:rsidRPr="00993E80" w:rsidRDefault="000402A6" w:rsidP="00FC077B">
      <w:pPr>
        <w:autoSpaceDE w:val="0"/>
        <w:autoSpaceDN w:val="0"/>
        <w:adjustRightInd w:val="0"/>
        <w:spacing w:after="120" w:line="240" w:lineRule="auto"/>
        <w:rPr>
          <w:rFonts w:ascii="Times New Roman" w:hAnsi="Times New Roman" w:cs="Times New Roman"/>
          <w:b/>
          <w:bCs/>
          <w:sz w:val="24"/>
          <w:szCs w:val="24"/>
        </w:rPr>
      </w:pPr>
      <w:r w:rsidRPr="00993E80">
        <w:rPr>
          <w:rFonts w:ascii="Times New Roman" w:hAnsi="Times New Roman" w:cs="Times New Roman"/>
          <w:b/>
          <w:bCs/>
          <w:sz w:val="24"/>
          <w:szCs w:val="24"/>
        </w:rPr>
        <w:t>Tioga United, Inc.</w:t>
      </w:r>
      <w:r w:rsidR="00F7206F">
        <w:rPr>
          <w:rFonts w:ascii="Times New Roman" w:hAnsi="Times New Roman" w:cs="Times New Roman"/>
          <w:bCs/>
          <w:sz w:val="24"/>
          <w:szCs w:val="24"/>
        </w:rPr>
        <w:t>:</w:t>
      </w:r>
      <w:r w:rsidR="00F7206F">
        <w:rPr>
          <w:rFonts w:ascii="Times New Roman" w:hAnsi="Times New Roman" w:cs="Times New Roman"/>
          <w:b/>
          <w:bCs/>
          <w:sz w:val="24"/>
          <w:szCs w:val="24"/>
        </w:rPr>
        <w:t xml:space="preserve"> </w:t>
      </w:r>
      <w:r w:rsidRPr="00993E80">
        <w:rPr>
          <w:rFonts w:ascii="Times New Roman" w:hAnsi="Times New Roman" w:cs="Times New Roman"/>
          <w:sz w:val="24"/>
          <w:szCs w:val="24"/>
        </w:rPr>
        <w:t>Tioga United began as a result of periodic greening projects performed by community</w:t>
      </w:r>
      <w:r w:rsidR="00F7206F">
        <w:rPr>
          <w:rFonts w:ascii="Times New Roman" w:hAnsi="Times New Roman" w:cs="Times New Roman"/>
          <w:b/>
          <w:bCs/>
          <w:sz w:val="24"/>
          <w:szCs w:val="24"/>
        </w:rPr>
        <w:t xml:space="preserve"> </w:t>
      </w:r>
      <w:r w:rsidRPr="00993E80">
        <w:rPr>
          <w:rFonts w:ascii="Times New Roman" w:hAnsi="Times New Roman" w:cs="Times New Roman"/>
          <w:sz w:val="24"/>
          <w:szCs w:val="24"/>
        </w:rPr>
        <w:t>volunteers, i</w:t>
      </w:r>
      <w:r w:rsidR="00F7206F">
        <w:rPr>
          <w:rFonts w:ascii="Times New Roman" w:hAnsi="Times New Roman" w:cs="Times New Roman"/>
          <w:sz w:val="24"/>
          <w:szCs w:val="24"/>
        </w:rPr>
        <w:t>ncluding children.</w:t>
      </w:r>
      <w:r w:rsidRPr="00993E80">
        <w:rPr>
          <w:rFonts w:ascii="Times New Roman" w:hAnsi="Times New Roman" w:cs="Times New Roman"/>
          <w:sz w:val="24"/>
          <w:szCs w:val="24"/>
        </w:rPr>
        <w:t xml:space="preserve"> </w:t>
      </w:r>
      <w:r w:rsidR="00F7206F" w:rsidRPr="00993E80">
        <w:rPr>
          <w:rFonts w:ascii="Times New Roman" w:hAnsi="Times New Roman" w:cs="Times New Roman"/>
          <w:sz w:val="24"/>
          <w:szCs w:val="24"/>
        </w:rPr>
        <w:t xml:space="preserve">Tioga </w:t>
      </w:r>
      <w:r w:rsidR="00F7206F">
        <w:rPr>
          <w:rFonts w:ascii="Times New Roman" w:hAnsi="Times New Roman" w:cs="Times New Roman"/>
          <w:sz w:val="24"/>
          <w:szCs w:val="24"/>
        </w:rPr>
        <w:t xml:space="preserve">is </w:t>
      </w:r>
      <w:r w:rsidRPr="00993E80">
        <w:rPr>
          <w:rFonts w:ascii="Times New Roman" w:hAnsi="Times New Roman" w:cs="Times New Roman"/>
          <w:sz w:val="24"/>
          <w:szCs w:val="24"/>
        </w:rPr>
        <w:t xml:space="preserve">an area plagued with creeping blight, </w:t>
      </w:r>
      <w:r w:rsidR="00F7206F">
        <w:rPr>
          <w:rFonts w:ascii="Times New Roman" w:hAnsi="Times New Roman" w:cs="Times New Roman"/>
          <w:sz w:val="24"/>
          <w:szCs w:val="24"/>
        </w:rPr>
        <w:t>including a</w:t>
      </w:r>
      <w:r w:rsidRPr="00993E80">
        <w:rPr>
          <w:rFonts w:ascii="Times New Roman" w:hAnsi="Times New Roman" w:cs="Times New Roman"/>
          <w:sz w:val="24"/>
          <w:szCs w:val="24"/>
        </w:rPr>
        <w:t xml:space="preserve"> wave of demolition as part of the Neighborhood</w:t>
      </w:r>
      <w:r w:rsidR="00F7206F">
        <w:rPr>
          <w:rFonts w:ascii="Times New Roman" w:hAnsi="Times New Roman" w:cs="Times New Roman"/>
          <w:b/>
          <w:bCs/>
          <w:sz w:val="24"/>
          <w:szCs w:val="24"/>
        </w:rPr>
        <w:t xml:space="preserve"> </w:t>
      </w:r>
      <w:r w:rsidRPr="00993E80">
        <w:rPr>
          <w:rFonts w:ascii="Times New Roman" w:hAnsi="Times New Roman" w:cs="Times New Roman"/>
          <w:sz w:val="24"/>
          <w:szCs w:val="24"/>
        </w:rPr>
        <w:t xml:space="preserve">Transformation Initiative. </w:t>
      </w:r>
    </w:p>
    <w:p w:rsidR="00407B09" w:rsidRPr="00800D10" w:rsidRDefault="000402A6" w:rsidP="00FC077B">
      <w:pPr>
        <w:autoSpaceDE w:val="0"/>
        <w:autoSpaceDN w:val="0"/>
        <w:adjustRightInd w:val="0"/>
        <w:spacing w:after="120" w:line="240" w:lineRule="auto"/>
        <w:rPr>
          <w:rFonts w:ascii="Times New Roman" w:hAnsi="Times New Roman" w:cs="Times New Roman"/>
          <w:b/>
          <w:bCs/>
          <w:sz w:val="24"/>
          <w:szCs w:val="24"/>
        </w:rPr>
      </w:pPr>
      <w:r w:rsidRPr="00993E80">
        <w:rPr>
          <w:rFonts w:ascii="Times New Roman" w:hAnsi="Times New Roman" w:cs="Times New Roman"/>
          <w:b/>
          <w:bCs/>
          <w:sz w:val="24"/>
          <w:szCs w:val="24"/>
        </w:rPr>
        <w:t>SELF, Inc.</w:t>
      </w:r>
      <w:r w:rsidR="00800D10">
        <w:rPr>
          <w:rFonts w:ascii="Times New Roman" w:hAnsi="Times New Roman" w:cs="Times New Roman"/>
          <w:bCs/>
          <w:sz w:val="24"/>
          <w:szCs w:val="24"/>
        </w:rPr>
        <w:t>:</w:t>
      </w:r>
      <w:r w:rsidR="00800D10">
        <w:rPr>
          <w:rFonts w:ascii="Times New Roman" w:hAnsi="Times New Roman" w:cs="Times New Roman"/>
          <w:b/>
          <w:bCs/>
          <w:sz w:val="24"/>
          <w:szCs w:val="24"/>
        </w:rPr>
        <w:t xml:space="preserve"> </w:t>
      </w:r>
      <w:r w:rsidRPr="00993E80">
        <w:rPr>
          <w:rFonts w:ascii="Times New Roman" w:hAnsi="Times New Roman" w:cs="Times New Roman"/>
          <w:sz w:val="24"/>
          <w:szCs w:val="24"/>
        </w:rPr>
        <w:t xml:space="preserve">SELF, Inc. </w:t>
      </w:r>
      <w:r w:rsidR="00F7206F">
        <w:rPr>
          <w:rFonts w:ascii="Times New Roman" w:hAnsi="Times New Roman" w:cs="Times New Roman"/>
          <w:sz w:val="24"/>
          <w:szCs w:val="24"/>
        </w:rPr>
        <w:t xml:space="preserve">works in Philadelphia’s </w:t>
      </w:r>
      <w:r w:rsidRPr="00993E80">
        <w:rPr>
          <w:rFonts w:ascii="Times New Roman" w:hAnsi="Times New Roman" w:cs="Times New Roman"/>
          <w:sz w:val="24"/>
          <w:szCs w:val="24"/>
        </w:rPr>
        <w:t xml:space="preserve">shelter system </w:t>
      </w:r>
      <w:r w:rsidR="00F7206F">
        <w:rPr>
          <w:rFonts w:ascii="Times New Roman" w:hAnsi="Times New Roman" w:cs="Times New Roman"/>
          <w:sz w:val="24"/>
          <w:szCs w:val="24"/>
        </w:rPr>
        <w:t>to develop</w:t>
      </w:r>
      <w:r w:rsidRPr="00993E80">
        <w:rPr>
          <w:rFonts w:ascii="Times New Roman" w:hAnsi="Times New Roman" w:cs="Times New Roman"/>
          <w:sz w:val="24"/>
          <w:szCs w:val="24"/>
        </w:rPr>
        <w:t xml:space="preserve"> addiction-free community</w:t>
      </w:r>
      <w:r w:rsidR="00F7206F">
        <w:rPr>
          <w:rFonts w:ascii="Times New Roman" w:hAnsi="Times New Roman" w:cs="Times New Roman"/>
          <w:sz w:val="24"/>
          <w:szCs w:val="24"/>
        </w:rPr>
        <w:t xml:space="preserve"> support networks, </w:t>
      </w:r>
      <w:r w:rsidRPr="00993E80">
        <w:rPr>
          <w:rFonts w:ascii="Times New Roman" w:hAnsi="Times New Roman" w:cs="Times New Roman"/>
          <w:sz w:val="24"/>
          <w:szCs w:val="24"/>
        </w:rPr>
        <w:t>partnering with Penn State</w:t>
      </w:r>
      <w:r w:rsidR="00F7206F">
        <w:rPr>
          <w:rFonts w:ascii="Times New Roman" w:hAnsi="Times New Roman" w:cs="Times New Roman"/>
          <w:sz w:val="24"/>
          <w:szCs w:val="24"/>
        </w:rPr>
        <w:t xml:space="preserve"> Cooperative Extension, in </w:t>
      </w:r>
      <w:r w:rsidRPr="00993E80">
        <w:rPr>
          <w:rFonts w:ascii="Times New Roman" w:hAnsi="Times New Roman" w:cs="Times New Roman"/>
          <w:sz w:val="24"/>
          <w:szCs w:val="24"/>
        </w:rPr>
        <w:t>North Central Philadelphia and Southwest Philadelphia</w:t>
      </w:r>
    </w:p>
    <w:p w:rsidR="000402A6" w:rsidRPr="00785E94" w:rsidRDefault="000402A6" w:rsidP="00FC077B">
      <w:pPr>
        <w:autoSpaceDE w:val="0"/>
        <w:autoSpaceDN w:val="0"/>
        <w:adjustRightInd w:val="0"/>
        <w:spacing w:after="120" w:line="240" w:lineRule="auto"/>
        <w:rPr>
          <w:rFonts w:ascii="Times New Roman" w:hAnsi="Times New Roman" w:cs="Times New Roman"/>
          <w:b/>
          <w:bCs/>
          <w:sz w:val="24"/>
          <w:szCs w:val="24"/>
        </w:rPr>
      </w:pPr>
      <w:r w:rsidRPr="00993E80">
        <w:rPr>
          <w:rFonts w:ascii="Times New Roman" w:hAnsi="Times New Roman" w:cs="Times New Roman"/>
          <w:b/>
          <w:bCs/>
          <w:sz w:val="24"/>
          <w:szCs w:val="24"/>
        </w:rPr>
        <w:t xml:space="preserve">University City </w:t>
      </w:r>
      <w:r w:rsidR="00F7206F">
        <w:rPr>
          <w:rFonts w:ascii="Times New Roman" w:hAnsi="Times New Roman" w:cs="Times New Roman"/>
          <w:b/>
          <w:bCs/>
          <w:sz w:val="24"/>
          <w:szCs w:val="24"/>
        </w:rPr>
        <w:t>District</w:t>
      </w:r>
      <w:r w:rsidR="00F7206F">
        <w:rPr>
          <w:rFonts w:ascii="Times New Roman" w:hAnsi="Times New Roman" w:cs="Times New Roman"/>
          <w:bCs/>
          <w:sz w:val="24"/>
          <w:szCs w:val="24"/>
        </w:rPr>
        <w:t>:</w:t>
      </w:r>
      <w:r w:rsidR="00F7206F">
        <w:rPr>
          <w:rFonts w:ascii="Times New Roman" w:hAnsi="Times New Roman" w:cs="Times New Roman"/>
          <w:b/>
          <w:bCs/>
          <w:sz w:val="24"/>
          <w:szCs w:val="24"/>
        </w:rPr>
        <w:t xml:space="preserve"> </w:t>
      </w:r>
      <w:r w:rsidRPr="00F7206F">
        <w:rPr>
          <w:rFonts w:ascii="Times New Roman" w:hAnsi="Times New Roman" w:cs="Times New Roman"/>
          <w:sz w:val="24"/>
          <w:szCs w:val="24"/>
        </w:rPr>
        <w:t>UCD</w:t>
      </w:r>
      <w:r w:rsidRPr="00993E80">
        <w:rPr>
          <w:rFonts w:ascii="Times New Roman" w:hAnsi="Times New Roman" w:cs="Times New Roman"/>
          <w:sz w:val="24"/>
          <w:szCs w:val="24"/>
        </w:rPr>
        <w:t xml:space="preserve"> seeks to build effective partnerships to</w:t>
      </w:r>
      <w:r w:rsidR="00785E94">
        <w:rPr>
          <w:rFonts w:ascii="Times New Roman" w:hAnsi="Times New Roman" w:cs="Times New Roman"/>
          <w:b/>
          <w:bCs/>
          <w:sz w:val="24"/>
          <w:szCs w:val="24"/>
        </w:rPr>
        <w:t xml:space="preserve"> </w:t>
      </w:r>
      <w:r w:rsidRPr="00993E80">
        <w:rPr>
          <w:rFonts w:ascii="Times New Roman" w:hAnsi="Times New Roman" w:cs="Times New Roman"/>
          <w:sz w:val="24"/>
          <w:szCs w:val="24"/>
        </w:rPr>
        <w:t>maintain a clean and safe environment and to</w:t>
      </w:r>
      <w:r w:rsidR="00785E94">
        <w:rPr>
          <w:rFonts w:ascii="Times New Roman" w:hAnsi="Times New Roman" w:cs="Times New Roman"/>
          <w:b/>
          <w:bCs/>
          <w:sz w:val="24"/>
          <w:szCs w:val="24"/>
        </w:rPr>
        <w:t xml:space="preserve"> </w:t>
      </w:r>
      <w:r w:rsidRPr="00993E80">
        <w:rPr>
          <w:rFonts w:ascii="Times New Roman" w:hAnsi="Times New Roman" w:cs="Times New Roman"/>
          <w:sz w:val="24"/>
          <w:szCs w:val="24"/>
        </w:rPr>
        <w:t>promote, plan, and advocate for University City’s</w:t>
      </w:r>
      <w:r w:rsidR="00785E94">
        <w:rPr>
          <w:rFonts w:ascii="Times New Roman" w:hAnsi="Times New Roman" w:cs="Times New Roman"/>
          <w:b/>
          <w:bCs/>
          <w:sz w:val="24"/>
          <w:szCs w:val="24"/>
        </w:rPr>
        <w:t xml:space="preserve"> </w:t>
      </w:r>
      <w:r w:rsidR="00F7206F">
        <w:rPr>
          <w:rFonts w:ascii="Times New Roman" w:hAnsi="Times New Roman" w:cs="Times New Roman"/>
          <w:sz w:val="24"/>
          <w:szCs w:val="24"/>
        </w:rPr>
        <w:t>community, namely</w:t>
      </w:r>
      <w:r w:rsidRPr="00993E80">
        <w:rPr>
          <w:rFonts w:ascii="Times New Roman" w:hAnsi="Times New Roman" w:cs="Times New Roman"/>
          <w:sz w:val="24"/>
          <w:szCs w:val="24"/>
        </w:rPr>
        <w:t xml:space="preserve"> West Philadelphia, Mantua, and Southwest Philadelphia.</w:t>
      </w:r>
    </w:p>
    <w:p w:rsidR="000402A6" w:rsidRPr="00993E80" w:rsidRDefault="000402A6" w:rsidP="00FC077B">
      <w:pPr>
        <w:autoSpaceDE w:val="0"/>
        <w:autoSpaceDN w:val="0"/>
        <w:adjustRightInd w:val="0"/>
        <w:spacing w:after="120" w:line="240" w:lineRule="auto"/>
        <w:rPr>
          <w:rFonts w:ascii="Times New Roman" w:hAnsi="Times New Roman" w:cs="Times New Roman"/>
          <w:b/>
          <w:bCs/>
          <w:sz w:val="24"/>
          <w:szCs w:val="24"/>
        </w:rPr>
      </w:pPr>
      <w:r w:rsidRPr="00993E80">
        <w:rPr>
          <w:rFonts w:ascii="Times New Roman" w:hAnsi="Times New Roman" w:cs="Times New Roman"/>
          <w:b/>
          <w:bCs/>
          <w:sz w:val="24"/>
          <w:szCs w:val="24"/>
        </w:rPr>
        <w:t>South Philadelphia Block</w:t>
      </w:r>
      <w:r w:rsidR="00785E94">
        <w:rPr>
          <w:rFonts w:ascii="Times New Roman" w:hAnsi="Times New Roman" w:cs="Times New Roman"/>
          <w:b/>
          <w:bCs/>
          <w:sz w:val="24"/>
          <w:szCs w:val="24"/>
        </w:rPr>
        <w:t xml:space="preserve"> </w:t>
      </w:r>
      <w:r w:rsidRPr="00993E80">
        <w:rPr>
          <w:rFonts w:ascii="Times New Roman" w:hAnsi="Times New Roman" w:cs="Times New Roman"/>
          <w:b/>
          <w:bCs/>
          <w:sz w:val="24"/>
          <w:szCs w:val="24"/>
        </w:rPr>
        <w:t>Association/Universal Companies</w:t>
      </w:r>
    </w:p>
    <w:p w:rsidR="00407B09" w:rsidRPr="00785E94" w:rsidRDefault="000402A6" w:rsidP="00FC077B">
      <w:pPr>
        <w:autoSpaceDE w:val="0"/>
        <w:autoSpaceDN w:val="0"/>
        <w:adjustRightInd w:val="0"/>
        <w:spacing w:after="120" w:line="240" w:lineRule="auto"/>
        <w:rPr>
          <w:rFonts w:ascii="Times New Roman" w:hAnsi="Times New Roman" w:cs="Times New Roman"/>
          <w:sz w:val="24"/>
          <w:szCs w:val="24"/>
        </w:rPr>
      </w:pPr>
      <w:r w:rsidRPr="00993E80">
        <w:rPr>
          <w:rFonts w:ascii="Times New Roman" w:hAnsi="Times New Roman" w:cs="Times New Roman"/>
          <w:sz w:val="24"/>
          <w:szCs w:val="24"/>
        </w:rPr>
        <w:t>Universal Companies, Inc.</w:t>
      </w:r>
      <w:r w:rsidR="00785E94">
        <w:rPr>
          <w:rFonts w:ascii="Times New Roman" w:hAnsi="Times New Roman" w:cs="Times New Roman"/>
          <w:sz w:val="24"/>
          <w:szCs w:val="24"/>
        </w:rPr>
        <w:t>,</w:t>
      </w:r>
      <w:r w:rsidRPr="00993E80">
        <w:rPr>
          <w:rFonts w:ascii="Times New Roman" w:hAnsi="Times New Roman" w:cs="Times New Roman"/>
          <w:sz w:val="24"/>
          <w:szCs w:val="24"/>
        </w:rPr>
        <w:t xml:space="preserve"> under the direction </w:t>
      </w:r>
      <w:r w:rsidR="00800D10" w:rsidRPr="00993E80">
        <w:rPr>
          <w:rFonts w:ascii="Times New Roman" w:hAnsi="Times New Roman" w:cs="Times New Roman"/>
          <w:sz w:val="24"/>
          <w:szCs w:val="24"/>
        </w:rPr>
        <w:t xml:space="preserve">of </w:t>
      </w:r>
      <w:r w:rsidR="00800D10">
        <w:rPr>
          <w:rFonts w:ascii="Times New Roman" w:hAnsi="Times New Roman" w:cs="Times New Roman"/>
          <w:sz w:val="24"/>
          <w:szCs w:val="24"/>
        </w:rPr>
        <w:t>musician</w:t>
      </w:r>
      <w:r w:rsidRPr="00993E80">
        <w:rPr>
          <w:rFonts w:ascii="Times New Roman" w:hAnsi="Times New Roman" w:cs="Times New Roman"/>
          <w:sz w:val="24"/>
          <w:szCs w:val="24"/>
        </w:rPr>
        <w:t>/businessman Kenneth Gamble</w:t>
      </w:r>
      <w:r w:rsidR="00785E94">
        <w:rPr>
          <w:rFonts w:ascii="Times New Roman" w:hAnsi="Times New Roman" w:cs="Times New Roman"/>
          <w:sz w:val="24"/>
          <w:szCs w:val="24"/>
        </w:rPr>
        <w:t xml:space="preserve">, concentrates its </w:t>
      </w:r>
      <w:r w:rsidR="00800D10">
        <w:rPr>
          <w:rFonts w:ascii="Times New Roman" w:hAnsi="Times New Roman" w:cs="Times New Roman"/>
          <w:sz w:val="24"/>
          <w:szCs w:val="24"/>
        </w:rPr>
        <w:t xml:space="preserve">efforts </w:t>
      </w:r>
      <w:r w:rsidR="00800D10" w:rsidRPr="00993E80">
        <w:rPr>
          <w:rFonts w:ascii="Times New Roman" w:hAnsi="Times New Roman" w:cs="Times New Roman"/>
          <w:sz w:val="24"/>
          <w:szCs w:val="24"/>
        </w:rPr>
        <w:t>within</w:t>
      </w:r>
      <w:r w:rsidRPr="00993E80">
        <w:rPr>
          <w:rFonts w:ascii="Times New Roman" w:hAnsi="Times New Roman" w:cs="Times New Roman"/>
          <w:sz w:val="24"/>
          <w:szCs w:val="24"/>
        </w:rPr>
        <w:t xml:space="preserve"> the</w:t>
      </w:r>
      <w:r w:rsidR="00785E94">
        <w:rPr>
          <w:rFonts w:ascii="Times New Roman" w:hAnsi="Times New Roman" w:cs="Times New Roman"/>
          <w:sz w:val="24"/>
          <w:szCs w:val="24"/>
        </w:rPr>
        <w:t xml:space="preserve"> </w:t>
      </w:r>
      <w:r w:rsidRPr="00993E80">
        <w:rPr>
          <w:rFonts w:ascii="Times New Roman" w:hAnsi="Times New Roman" w:cs="Times New Roman"/>
          <w:sz w:val="24"/>
          <w:szCs w:val="24"/>
        </w:rPr>
        <w:t xml:space="preserve">South Central Philadelphia area </w:t>
      </w:r>
    </w:p>
    <w:p w:rsidR="000402A6" w:rsidRPr="00993E80" w:rsidRDefault="000402A6" w:rsidP="00FC077B">
      <w:pPr>
        <w:autoSpaceDE w:val="0"/>
        <w:autoSpaceDN w:val="0"/>
        <w:adjustRightInd w:val="0"/>
        <w:spacing w:after="120" w:line="240" w:lineRule="auto"/>
        <w:rPr>
          <w:rFonts w:ascii="Times New Roman" w:hAnsi="Times New Roman" w:cs="Times New Roman"/>
          <w:b/>
          <w:bCs/>
          <w:sz w:val="24"/>
          <w:szCs w:val="24"/>
        </w:rPr>
      </w:pPr>
      <w:r w:rsidRPr="00993E80">
        <w:rPr>
          <w:rFonts w:ascii="Times New Roman" w:hAnsi="Times New Roman" w:cs="Times New Roman"/>
          <w:b/>
          <w:bCs/>
          <w:sz w:val="24"/>
          <w:szCs w:val="24"/>
        </w:rPr>
        <w:t>The Village of Arts and Humanities</w:t>
      </w:r>
    </w:p>
    <w:p w:rsidR="00785E94" w:rsidRPr="00993E80" w:rsidRDefault="000402A6" w:rsidP="00785E94">
      <w:pPr>
        <w:autoSpaceDE w:val="0"/>
        <w:autoSpaceDN w:val="0"/>
        <w:adjustRightInd w:val="0"/>
        <w:spacing w:after="120" w:line="240" w:lineRule="auto"/>
        <w:rPr>
          <w:rFonts w:ascii="Times New Roman" w:hAnsi="Times New Roman" w:cs="Times New Roman"/>
          <w:sz w:val="24"/>
          <w:szCs w:val="24"/>
        </w:rPr>
      </w:pPr>
      <w:r w:rsidRPr="00993E80">
        <w:rPr>
          <w:rFonts w:ascii="Times New Roman" w:hAnsi="Times New Roman" w:cs="Times New Roman"/>
          <w:sz w:val="24"/>
          <w:szCs w:val="24"/>
        </w:rPr>
        <w:t>The Village of Arts and Humanities is a</w:t>
      </w:r>
      <w:r w:rsidR="00785E94">
        <w:rPr>
          <w:rFonts w:ascii="Times New Roman" w:hAnsi="Times New Roman" w:cs="Times New Roman"/>
          <w:sz w:val="24"/>
          <w:szCs w:val="24"/>
        </w:rPr>
        <w:t xml:space="preserve"> </w:t>
      </w:r>
      <w:r w:rsidRPr="00993E80">
        <w:rPr>
          <w:rFonts w:ascii="Times New Roman" w:hAnsi="Times New Roman" w:cs="Times New Roman"/>
          <w:sz w:val="24"/>
          <w:szCs w:val="24"/>
        </w:rPr>
        <w:t>community-based arts, education, and</w:t>
      </w:r>
      <w:r w:rsidR="00785E94">
        <w:rPr>
          <w:rFonts w:ascii="Times New Roman" w:hAnsi="Times New Roman" w:cs="Times New Roman"/>
          <w:sz w:val="24"/>
          <w:szCs w:val="24"/>
        </w:rPr>
        <w:t xml:space="preserve"> </w:t>
      </w:r>
      <w:r w:rsidRPr="00993E80">
        <w:rPr>
          <w:rFonts w:ascii="Times New Roman" w:hAnsi="Times New Roman" w:cs="Times New Roman"/>
          <w:sz w:val="24"/>
          <w:szCs w:val="24"/>
        </w:rPr>
        <w:t>neighborhood development organization in North</w:t>
      </w:r>
      <w:r w:rsidR="00785E94">
        <w:rPr>
          <w:rFonts w:ascii="Times New Roman" w:hAnsi="Times New Roman" w:cs="Times New Roman"/>
          <w:sz w:val="24"/>
          <w:szCs w:val="24"/>
        </w:rPr>
        <w:t xml:space="preserve"> </w:t>
      </w:r>
      <w:r w:rsidRPr="00993E80">
        <w:rPr>
          <w:rFonts w:ascii="Times New Roman" w:hAnsi="Times New Roman" w:cs="Times New Roman"/>
          <w:sz w:val="24"/>
          <w:szCs w:val="24"/>
        </w:rPr>
        <w:t xml:space="preserve">Philadelphia. </w:t>
      </w:r>
    </w:p>
    <w:p w:rsidR="00727545" w:rsidRDefault="00727545">
      <w:pPr>
        <w:rPr>
          <w:rFonts w:ascii="Times New Roman" w:hAnsi="Times New Roman" w:cs="Times New Roman"/>
          <w:sz w:val="24"/>
          <w:szCs w:val="24"/>
        </w:rPr>
      </w:pPr>
      <w:r>
        <w:rPr>
          <w:rFonts w:ascii="Times New Roman" w:hAnsi="Times New Roman" w:cs="Times New Roman"/>
          <w:sz w:val="24"/>
          <w:szCs w:val="24"/>
        </w:rPr>
        <w:br w:type="page"/>
      </w:r>
    </w:p>
    <w:p w:rsidR="00727545" w:rsidRPr="007F6679" w:rsidRDefault="00727545" w:rsidP="00727545">
      <w:pPr>
        <w:jc w:val="center"/>
        <w:rPr>
          <w:rFonts w:ascii="Times New Roman" w:hAnsi="Times New Roman" w:cs="Times New Roman"/>
          <w:b/>
          <w:sz w:val="24"/>
          <w:szCs w:val="24"/>
        </w:rPr>
      </w:pPr>
      <w:r w:rsidRPr="007F6679">
        <w:rPr>
          <w:rFonts w:ascii="Times New Roman" w:hAnsi="Times New Roman" w:cs="Times New Roman"/>
          <w:b/>
          <w:sz w:val="24"/>
          <w:szCs w:val="24"/>
        </w:rPr>
        <w:lastRenderedPageBreak/>
        <w:t>Information Sources on Philadelphia Vacant Properties</w:t>
      </w:r>
    </w:p>
    <w:p w:rsidR="00727545" w:rsidRDefault="00727545" w:rsidP="00727545">
      <w:pPr>
        <w:autoSpaceDE w:val="0"/>
        <w:autoSpaceDN w:val="0"/>
        <w:adjustRightInd w:val="0"/>
        <w:spacing w:after="0" w:line="240" w:lineRule="auto"/>
        <w:rPr>
          <w:rFonts w:ascii="Times New Roman" w:hAnsi="Times New Roman" w:cs="Times New Roman"/>
          <w:color w:val="002E4F"/>
          <w:sz w:val="24"/>
          <w:szCs w:val="24"/>
        </w:rPr>
      </w:pPr>
    </w:p>
    <w:p w:rsidR="00727545" w:rsidRDefault="00727545" w:rsidP="00727545">
      <w:pPr>
        <w:autoSpaceDE w:val="0"/>
        <w:autoSpaceDN w:val="0"/>
        <w:adjustRightInd w:val="0"/>
        <w:spacing w:after="0" w:line="240" w:lineRule="auto"/>
        <w:rPr>
          <w:rFonts w:ascii="Times New Roman" w:hAnsi="Times New Roman" w:cs="Times New Roman"/>
          <w:color w:val="002E4F"/>
          <w:sz w:val="24"/>
          <w:szCs w:val="24"/>
        </w:rPr>
      </w:pPr>
      <w:proofErr w:type="spellStart"/>
      <w:r>
        <w:rPr>
          <w:rFonts w:ascii="Times New Roman" w:hAnsi="Times New Roman" w:cs="Times New Roman"/>
          <w:color w:val="002E4F"/>
          <w:sz w:val="24"/>
          <w:szCs w:val="24"/>
        </w:rPr>
        <w:t>Bergera</w:t>
      </w:r>
      <w:proofErr w:type="spellEnd"/>
      <w:r>
        <w:rPr>
          <w:rFonts w:ascii="Times New Roman" w:hAnsi="Times New Roman" w:cs="Times New Roman"/>
          <w:color w:val="002E4F"/>
          <w:sz w:val="24"/>
          <w:szCs w:val="24"/>
        </w:rPr>
        <w:t xml:space="preserve"> Philip, Eli </w:t>
      </w:r>
      <w:proofErr w:type="spellStart"/>
      <w:r>
        <w:rPr>
          <w:rFonts w:ascii="Times New Roman" w:hAnsi="Times New Roman" w:cs="Times New Roman"/>
          <w:color w:val="002E4F"/>
          <w:sz w:val="24"/>
          <w:szCs w:val="24"/>
        </w:rPr>
        <w:t>Ofek</w:t>
      </w:r>
      <w:proofErr w:type="spellEnd"/>
      <w:r>
        <w:rPr>
          <w:rFonts w:ascii="Times New Roman" w:hAnsi="Times New Roman" w:cs="Times New Roman"/>
          <w:color w:val="002E4F"/>
          <w:sz w:val="24"/>
          <w:szCs w:val="24"/>
        </w:rPr>
        <w:t xml:space="preserve">, &amp; </w:t>
      </w:r>
      <w:proofErr w:type="spellStart"/>
      <w:r w:rsidRPr="000B15D1">
        <w:rPr>
          <w:rFonts w:ascii="Times New Roman" w:hAnsi="Times New Roman" w:cs="Times New Roman"/>
          <w:color w:val="002E4F"/>
          <w:sz w:val="24"/>
          <w:szCs w:val="24"/>
        </w:rPr>
        <w:t>Itzhak</w:t>
      </w:r>
      <w:proofErr w:type="spellEnd"/>
      <w:r w:rsidRPr="000B15D1">
        <w:rPr>
          <w:rFonts w:ascii="Times New Roman" w:hAnsi="Times New Roman" w:cs="Times New Roman"/>
          <w:color w:val="002E4F"/>
          <w:sz w:val="24"/>
          <w:szCs w:val="24"/>
        </w:rPr>
        <w:t xml:space="preserve"> </w:t>
      </w:r>
      <w:proofErr w:type="spellStart"/>
      <w:r w:rsidRPr="000B15D1">
        <w:rPr>
          <w:rFonts w:ascii="Times New Roman" w:hAnsi="Times New Roman" w:cs="Times New Roman"/>
          <w:color w:val="002E4F"/>
          <w:sz w:val="24"/>
          <w:szCs w:val="24"/>
        </w:rPr>
        <w:t>Swaryc</w:t>
      </w:r>
      <w:proofErr w:type="spellEnd"/>
      <w:r>
        <w:rPr>
          <w:rFonts w:ascii="Times New Roman" w:hAnsi="Times New Roman" w:cs="Times New Roman"/>
          <w:color w:val="002E4F"/>
          <w:sz w:val="24"/>
          <w:szCs w:val="24"/>
        </w:rPr>
        <w:t xml:space="preserve">, 1996. </w:t>
      </w:r>
      <w:proofErr w:type="gramStart"/>
      <w:r>
        <w:rPr>
          <w:rFonts w:ascii="Times New Roman" w:hAnsi="Times New Roman" w:cs="Times New Roman"/>
          <w:color w:val="002E4F"/>
          <w:sz w:val="24"/>
          <w:szCs w:val="24"/>
        </w:rPr>
        <w:t>“</w:t>
      </w:r>
      <w:r w:rsidRPr="000B15D1">
        <w:rPr>
          <w:rFonts w:ascii="Times New Roman" w:hAnsi="Times New Roman" w:cs="Times New Roman"/>
          <w:color w:val="002E4F"/>
          <w:sz w:val="24"/>
          <w:szCs w:val="24"/>
        </w:rPr>
        <w:t>Investor valuation of the abandonment option</w:t>
      </w:r>
      <w:r>
        <w:rPr>
          <w:rFonts w:ascii="Times New Roman" w:hAnsi="Times New Roman" w:cs="Times New Roman"/>
          <w:color w:val="002E4F"/>
          <w:sz w:val="24"/>
          <w:szCs w:val="24"/>
        </w:rPr>
        <w:t>.”</w:t>
      </w:r>
      <w:proofErr w:type="gramEnd"/>
      <w:r>
        <w:rPr>
          <w:rFonts w:ascii="Times New Roman" w:hAnsi="Times New Roman" w:cs="Times New Roman"/>
          <w:color w:val="002E4F"/>
          <w:sz w:val="24"/>
          <w:szCs w:val="24"/>
        </w:rPr>
        <w:t xml:space="preserve"> </w:t>
      </w:r>
      <w:r w:rsidRPr="000B15D1">
        <w:rPr>
          <w:rFonts w:ascii="Times New Roman" w:hAnsi="Times New Roman" w:cs="Times New Roman"/>
          <w:color w:val="002E4F"/>
          <w:sz w:val="24"/>
          <w:szCs w:val="24"/>
          <w:u w:val="single"/>
        </w:rPr>
        <w:t>Journal of Financial Economics</w:t>
      </w:r>
      <w:r>
        <w:rPr>
          <w:rFonts w:ascii="Times New Roman" w:hAnsi="Times New Roman" w:cs="Times New Roman"/>
          <w:color w:val="002E4F"/>
          <w:sz w:val="24"/>
          <w:szCs w:val="24"/>
        </w:rPr>
        <w:t xml:space="preserve">, </w:t>
      </w:r>
      <w:r w:rsidRPr="000B15D1">
        <w:rPr>
          <w:rFonts w:ascii="Times New Roman" w:hAnsi="Times New Roman" w:cs="Times New Roman"/>
          <w:color w:val="002E4F"/>
          <w:sz w:val="24"/>
          <w:szCs w:val="24"/>
        </w:rPr>
        <w:t xml:space="preserve">42, </w:t>
      </w:r>
      <w:r>
        <w:rPr>
          <w:rFonts w:ascii="Times New Roman" w:hAnsi="Times New Roman" w:cs="Times New Roman"/>
          <w:color w:val="002E4F"/>
          <w:sz w:val="24"/>
          <w:szCs w:val="24"/>
        </w:rPr>
        <w:t>pp.</w:t>
      </w:r>
      <w:r w:rsidRPr="000B15D1">
        <w:rPr>
          <w:rFonts w:ascii="Times New Roman" w:hAnsi="Times New Roman" w:cs="Times New Roman"/>
          <w:color w:val="002E4F"/>
          <w:sz w:val="24"/>
          <w:szCs w:val="24"/>
        </w:rPr>
        <w:t xml:space="preserve"> 257–287</w:t>
      </w:r>
      <w:r>
        <w:rPr>
          <w:rFonts w:ascii="Times New Roman" w:hAnsi="Times New Roman" w:cs="Times New Roman"/>
          <w:color w:val="002E4F"/>
          <w:sz w:val="24"/>
          <w:szCs w:val="24"/>
        </w:rPr>
        <w:t>.</w:t>
      </w:r>
    </w:p>
    <w:p w:rsidR="00727545" w:rsidRDefault="00727545" w:rsidP="00727545">
      <w:pPr>
        <w:autoSpaceDE w:val="0"/>
        <w:autoSpaceDN w:val="0"/>
        <w:adjustRightInd w:val="0"/>
        <w:spacing w:after="0" w:line="240" w:lineRule="auto"/>
        <w:rPr>
          <w:rFonts w:ascii="Times New Roman" w:hAnsi="Times New Roman" w:cs="Times New Roman"/>
          <w:color w:val="002E4F"/>
          <w:sz w:val="24"/>
          <w:szCs w:val="24"/>
        </w:rPr>
      </w:pPr>
    </w:p>
    <w:p w:rsidR="00727545" w:rsidRDefault="00727545" w:rsidP="00727545">
      <w:pPr>
        <w:autoSpaceDE w:val="0"/>
        <w:autoSpaceDN w:val="0"/>
        <w:adjustRightInd w:val="0"/>
        <w:spacing w:after="0" w:line="240" w:lineRule="auto"/>
        <w:rPr>
          <w:rFonts w:ascii="Times New Roman" w:hAnsi="Times New Roman" w:cs="Times New Roman"/>
          <w:color w:val="002E4F"/>
          <w:sz w:val="24"/>
          <w:szCs w:val="24"/>
        </w:rPr>
      </w:pPr>
      <w:proofErr w:type="spellStart"/>
      <w:r w:rsidRPr="00BD704E">
        <w:rPr>
          <w:rFonts w:ascii="Times New Roman" w:hAnsi="Times New Roman" w:cs="Times New Roman"/>
          <w:color w:val="002E4F"/>
          <w:sz w:val="24"/>
          <w:szCs w:val="24"/>
        </w:rPr>
        <w:t>Bocian</w:t>
      </w:r>
      <w:proofErr w:type="spellEnd"/>
      <w:r w:rsidRPr="00BD704E">
        <w:rPr>
          <w:rFonts w:ascii="Times New Roman" w:hAnsi="Times New Roman" w:cs="Times New Roman"/>
          <w:color w:val="002E4F"/>
          <w:sz w:val="24"/>
          <w:szCs w:val="24"/>
        </w:rPr>
        <w:t xml:space="preserve">, Debbie </w:t>
      </w:r>
      <w:proofErr w:type="spellStart"/>
      <w:r w:rsidRPr="00BD704E">
        <w:rPr>
          <w:rFonts w:ascii="Times New Roman" w:hAnsi="Times New Roman" w:cs="Times New Roman"/>
          <w:color w:val="002E4F"/>
          <w:sz w:val="24"/>
          <w:szCs w:val="24"/>
        </w:rPr>
        <w:t>Gruenstein</w:t>
      </w:r>
      <w:proofErr w:type="spellEnd"/>
      <w:r>
        <w:rPr>
          <w:rFonts w:ascii="Times New Roman" w:hAnsi="Times New Roman" w:cs="Times New Roman"/>
          <w:color w:val="002E4F"/>
          <w:sz w:val="24"/>
          <w:szCs w:val="24"/>
        </w:rPr>
        <w:t xml:space="preserve">, </w:t>
      </w:r>
      <w:r w:rsidRPr="00BD704E">
        <w:rPr>
          <w:rFonts w:ascii="Times New Roman" w:hAnsi="Times New Roman" w:cs="Times New Roman"/>
          <w:color w:val="002E4F"/>
          <w:sz w:val="24"/>
          <w:szCs w:val="24"/>
        </w:rPr>
        <w:t xml:space="preserve">Wei Li, </w:t>
      </w:r>
      <w:r>
        <w:rPr>
          <w:rFonts w:ascii="Times New Roman" w:hAnsi="Times New Roman" w:cs="Times New Roman"/>
          <w:color w:val="002E4F"/>
          <w:sz w:val="24"/>
          <w:szCs w:val="24"/>
        </w:rPr>
        <w:t xml:space="preserve">Roberto G. </w:t>
      </w:r>
      <w:proofErr w:type="spellStart"/>
      <w:r>
        <w:rPr>
          <w:rFonts w:ascii="Times New Roman" w:hAnsi="Times New Roman" w:cs="Times New Roman"/>
          <w:color w:val="002E4F"/>
          <w:sz w:val="24"/>
          <w:szCs w:val="24"/>
        </w:rPr>
        <w:t>Quercia</w:t>
      </w:r>
      <w:proofErr w:type="spellEnd"/>
      <w:r>
        <w:rPr>
          <w:rFonts w:ascii="Times New Roman" w:hAnsi="Times New Roman" w:cs="Times New Roman"/>
          <w:color w:val="002E4F"/>
          <w:sz w:val="24"/>
          <w:szCs w:val="24"/>
        </w:rPr>
        <w:t xml:space="preserve"> &amp; </w:t>
      </w:r>
      <w:r w:rsidRPr="00BD704E">
        <w:rPr>
          <w:rFonts w:ascii="Times New Roman" w:hAnsi="Times New Roman" w:cs="Times New Roman"/>
          <w:color w:val="002E4F"/>
          <w:sz w:val="24"/>
          <w:szCs w:val="24"/>
        </w:rPr>
        <w:t>Carolina Reid</w:t>
      </w:r>
      <w:r>
        <w:rPr>
          <w:rFonts w:ascii="Times New Roman" w:hAnsi="Times New Roman" w:cs="Times New Roman"/>
          <w:color w:val="002E4F"/>
          <w:sz w:val="24"/>
          <w:szCs w:val="24"/>
        </w:rPr>
        <w:t xml:space="preserve">, 2011. </w:t>
      </w:r>
      <w:r w:rsidRPr="00BD704E">
        <w:rPr>
          <w:rFonts w:ascii="Times New Roman" w:hAnsi="Times New Roman" w:cs="Times New Roman"/>
          <w:bCs/>
          <w:color w:val="002E4F"/>
          <w:sz w:val="24"/>
          <w:szCs w:val="24"/>
          <w:u w:val="single"/>
        </w:rPr>
        <w:t>Lost Ground, 2011:</w:t>
      </w:r>
      <w:r w:rsidRPr="00BD704E">
        <w:rPr>
          <w:rFonts w:ascii="Times New Roman" w:hAnsi="Times New Roman" w:cs="Times New Roman"/>
          <w:color w:val="002E4F"/>
          <w:sz w:val="24"/>
          <w:szCs w:val="24"/>
          <w:u w:val="single"/>
        </w:rPr>
        <w:t xml:space="preserve"> </w:t>
      </w:r>
      <w:r>
        <w:rPr>
          <w:rFonts w:ascii="Times New Roman" w:hAnsi="Times New Roman" w:cs="Times New Roman"/>
          <w:bCs/>
          <w:color w:val="002E4F"/>
          <w:sz w:val="24"/>
          <w:szCs w:val="24"/>
          <w:u w:val="single"/>
        </w:rPr>
        <w:t xml:space="preserve">Disparities in </w:t>
      </w:r>
      <w:r w:rsidRPr="00BD704E">
        <w:rPr>
          <w:rFonts w:ascii="Times New Roman" w:hAnsi="Times New Roman" w:cs="Times New Roman"/>
          <w:bCs/>
          <w:color w:val="002E4F"/>
          <w:sz w:val="24"/>
          <w:szCs w:val="24"/>
          <w:u w:val="single"/>
        </w:rPr>
        <w:t>Mortgage Lending</w:t>
      </w:r>
      <w:r w:rsidRPr="00BD704E">
        <w:rPr>
          <w:rFonts w:ascii="Times New Roman" w:hAnsi="Times New Roman" w:cs="Times New Roman"/>
          <w:color w:val="002E4F"/>
          <w:sz w:val="24"/>
          <w:szCs w:val="24"/>
          <w:u w:val="single"/>
        </w:rPr>
        <w:t xml:space="preserve"> </w:t>
      </w:r>
      <w:r w:rsidRPr="00BD704E">
        <w:rPr>
          <w:rFonts w:ascii="Times New Roman" w:hAnsi="Times New Roman" w:cs="Times New Roman"/>
          <w:bCs/>
          <w:color w:val="002E4F"/>
          <w:sz w:val="24"/>
          <w:szCs w:val="24"/>
          <w:u w:val="single"/>
        </w:rPr>
        <w:t>and Foreclosures</w:t>
      </w:r>
      <w:r>
        <w:rPr>
          <w:rFonts w:ascii="Times New Roman" w:hAnsi="Times New Roman" w:cs="Times New Roman"/>
          <w:bCs/>
          <w:color w:val="002E4F"/>
          <w:sz w:val="24"/>
          <w:szCs w:val="24"/>
        </w:rPr>
        <w:t>.</w:t>
      </w:r>
      <w:r>
        <w:rPr>
          <w:rFonts w:ascii="Times New Roman" w:hAnsi="Times New Roman" w:cs="Times New Roman"/>
          <w:color w:val="002E4F"/>
          <w:sz w:val="24"/>
          <w:szCs w:val="24"/>
        </w:rPr>
        <w:t xml:space="preserve"> Durham, NC: Center for Responsible Lending.</w:t>
      </w:r>
    </w:p>
    <w:p w:rsidR="00727545" w:rsidRDefault="00727545" w:rsidP="00727545">
      <w:pPr>
        <w:autoSpaceDE w:val="0"/>
        <w:autoSpaceDN w:val="0"/>
        <w:adjustRightInd w:val="0"/>
        <w:spacing w:after="0" w:line="240" w:lineRule="auto"/>
        <w:rPr>
          <w:rStyle w:val="A11"/>
          <w:rFonts w:ascii="Times New Roman" w:hAnsi="Times New Roman" w:cs="Times New Roman"/>
          <w:b w:val="0"/>
          <w:sz w:val="24"/>
          <w:szCs w:val="24"/>
        </w:rPr>
      </w:pPr>
    </w:p>
    <w:p w:rsidR="00727545" w:rsidRPr="00727545" w:rsidRDefault="00727545" w:rsidP="00727545">
      <w:pPr>
        <w:autoSpaceDE w:val="0"/>
        <w:autoSpaceDN w:val="0"/>
        <w:adjustRightInd w:val="0"/>
        <w:spacing w:after="0" w:line="240" w:lineRule="auto"/>
        <w:rPr>
          <w:rStyle w:val="A11"/>
          <w:rFonts w:ascii="Times New Roman" w:hAnsi="Times New Roman" w:cs="Times New Roman"/>
          <w:b w:val="0"/>
          <w:sz w:val="24"/>
          <w:szCs w:val="24"/>
        </w:rPr>
      </w:pPr>
      <w:proofErr w:type="gramStart"/>
      <w:r w:rsidRPr="00727545">
        <w:rPr>
          <w:rStyle w:val="A11"/>
          <w:rFonts w:ascii="Times New Roman" w:hAnsi="Times New Roman" w:cs="Times New Roman"/>
          <w:b w:val="0"/>
          <w:sz w:val="24"/>
          <w:szCs w:val="24"/>
        </w:rPr>
        <w:t>Campaign to Take Back Vacant Land, 2011.</w:t>
      </w:r>
      <w:proofErr w:type="gramEnd"/>
      <w:r w:rsidRPr="00727545">
        <w:rPr>
          <w:rStyle w:val="A11"/>
          <w:rFonts w:ascii="Times New Roman" w:hAnsi="Times New Roman" w:cs="Times New Roman"/>
          <w:b w:val="0"/>
          <w:sz w:val="24"/>
          <w:szCs w:val="24"/>
        </w:rPr>
        <w:t xml:space="preserve"> </w:t>
      </w:r>
      <w:r w:rsidRPr="00727545">
        <w:rPr>
          <w:rStyle w:val="A11"/>
          <w:rFonts w:ascii="Times New Roman" w:hAnsi="Times New Roman" w:cs="Times New Roman"/>
          <w:b w:val="0"/>
          <w:sz w:val="24"/>
          <w:szCs w:val="24"/>
          <w:u w:val="single"/>
        </w:rPr>
        <w:t>Put Abandoned Land in our Hands</w:t>
      </w:r>
      <w:r w:rsidRPr="00727545">
        <w:rPr>
          <w:rStyle w:val="A11"/>
          <w:rFonts w:ascii="Times New Roman" w:hAnsi="Times New Roman" w:cs="Times New Roman"/>
          <w:b w:val="0"/>
          <w:sz w:val="24"/>
          <w:szCs w:val="24"/>
        </w:rPr>
        <w:t>. Philadelphia: The Campaign to Take Back Vacant Land.</w:t>
      </w:r>
    </w:p>
    <w:p w:rsidR="00727545" w:rsidRPr="00727545" w:rsidRDefault="00727545" w:rsidP="00727545">
      <w:pPr>
        <w:autoSpaceDE w:val="0"/>
        <w:autoSpaceDN w:val="0"/>
        <w:adjustRightInd w:val="0"/>
        <w:spacing w:after="0" w:line="240" w:lineRule="auto"/>
        <w:rPr>
          <w:rFonts w:ascii="Times New Roman" w:hAnsi="Times New Roman" w:cs="Times New Roman"/>
          <w:color w:val="002E4F"/>
          <w:sz w:val="24"/>
          <w:szCs w:val="24"/>
        </w:rPr>
      </w:pPr>
    </w:p>
    <w:p w:rsidR="00552CCA" w:rsidRDefault="00552CCA" w:rsidP="00727545">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Cresce</w:t>
      </w:r>
      <w:proofErr w:type="spellEnd"/>
      <w:r>
        <w:rPr>
          <w:rFonts w:ascii="Times New Roman" w:hAnsi="Times New Roman" w:cs="Times New Roman"/>
          <w:sz w:val="24"/>
          <w:szCs w:val="24"/>
        </w:rPr>
        <w:t xml:space="preserve">, Arthur, 2012. “Evaluation of Gross Vacancy Rates from the 2010 Census vs. Current Surveys: Early Findings from Comparisons with the 2010 Census and the 2010 ACS 1-Year Estimates.” Paper presented to Federal Committee on Statistical Methodology, Washington, DC, </w:t>
      </w:r>
      <w:proofErr w:type="gramStart"/>
      <w:r>
        <w:rPr>
          <w:rFonts w:ascii="Times New Roman" w:hAnsi="Times New Roman" w:cs="Times New Roman"/>
          <w:sz w:val="24"/>
          <w:szCs w:val="24"/>
        </w:rPr>
        <w:t>January</w:t>
      </w:r>
      <w:proofErr w:type="gramEnd"/>
      <w:r>
        <w:rPr>
          <w:rFonts w:ascii="Times New Roman" w:hAnsi="Times New Roman" w:cs="Times New Roman"/>
          <w:sz w:val="24"/>
          <w:szCs w:val="24"/>
        </w:rPr>
        <w:t>.</w:t>
      </w:r>
    </w:p>
    <w:p w:rsidR="00552CCA" w:rsidRDefault="00552CCA" w:rsidP="00727545">
      <w:pPr>
        <w:autoSpaceDE w:val="0"/>
        <w:autoSpaceDN w:val="0"/>
        <w:adjustRightInd w:val="0"/>
        <w:spacing w:after="0" w:line="240" w:lineRule="auto"/>
        <w:rPr>
          <w:rFonts w:ascii="Times New Roman" w:hAnsi="Times New Roman" w:cs="Times New Roman"/>
          <w:sz w:val="24"/>
          <w:szCs w:val="24"/>
        </w:rPr>
      </w:pPr>
    </w:p>
    <w:p w:rsidR="00727545" w:rsidRDefault="00727545" w:rsidP="00727545">
      <w:pPr>
        <w:autoSpaceDE w:val="0"/>
        <w:autoSpaceDN w:val="0"/>
        <w:adjustRightInd w:val="0"/>
        <w:spacing w:after="0" w:line="240" w:lineRule="auto"/>
        <w:rPr>
          <w:rFonts w:ascii="Times New Roman" w:hAnsi="Times New Roman" w:cs="Times New Roman"/>
          <w:bCs/>
          <w:sz w:val="24"/>
          <w:szCs w:val="24"/>
        </w:rPr>
      </w:pPr>
      <w:proofErr w:type="spellStart"/>
      <w:r>
        <w:rPr>
          <w:rFonts w:ascii="Times New Roman" w:hAnsi="Times New Roman" w:cs="Times New Roman"/>
          <w:sz w:val="24"/>
          <w:szCs w:val="24"/>
        </w:rPr>
        <w:t>Econsult</w:t>
      </w:r>
      <w:proofErr w:type="spellEnd"/>
      <w:r>
        <w:rPr>
          <w:rFonts w:ascii="Times New Roman" w:hAnsi="Times New Roman" w:cs="Times New Roman"/>
          <w:sz w:val="24"/>
          <w:szCs w:val="24"/>
        </w:rPr>
        <w:t xml:space="preserve"> Corporation, </w:t>
      </w:r>
      <w:r w:rsidRPr="0074417A">
        <w:rPr>
          <w:rFonts w:ascii="Times New Roman" w:hAnsi="Times New Roman" w:cs="Times New Roman"/>
          <w:sz w:val="24"/>
          <w:szCs w:val="24"/>
        </w:rPr>
        <w:t>Penn Institute for Urban Research</w:t>
      </w:r>
      <w:r>
        <w:rPr>
          <w:rFonts w:ascii="Times New Roman" w:hAnsi="Times New Roman" w:cs="Times New Roman"/>
          <w:sz w:val="24"/>
          <w:szCs w:val="24"/>
        </w:rPr>
        <w:t xml:space="preserve">, &amp; </w:t>
      </w:r>
      <w:r w:rsidRPr="0074417A">
        <w:rPr>
          <w:rFonts w:ascii="Times New Roman" w:hAnsi="Times New Roman" w:cs="Times New Roman"/>
          <w:sz w:val="24"/>
          <w:szCs w:val="24"/>
        </w:rPr>
        <w:t>May 8 Consulting</w:t>
      </w:r>
      <w:r>
        <w:rPr>
          <w:rFonts w:ascii="Times New Roman" w:hAnsi="Times New Roman" w:cs="Times New Roman"/>
          <w:sz w:val="24"/>
          <w:szCs w:val="24"/>
        </w:rPr>
        <w:t>, 2010.</w:t>
      </w:r>
      <w:r w:rsidRPr="0074417A">
        <w:rPr>
          <w:rFonts w:ascii="Calibri" w:hAnsi="Calibri" w:cs="Calibri"/>
          <w:sz w:val="24"/>
          <w:szCs w:val="24"/>
        </w:rPr>
        <w:t xml:space="preserve"> </w:t>
      </w:r>
      <w:r w:rsidRPr="0074417A">
        <w:rPr>
          <w:rFonts w:ascii="Times New Roman" w:hAnsi="Times New Roman" w:cs="Times New Roman"/>
          <w:bCs/>
          <w:sz w:val="24"/>
          <w:szCs w:val="24"/>
          <w:u w:val="single"/>
        </w:rPr>
        <w:t>Vacant Land Management in Philadelphia</w:t>
      </w:r>
      <w:r>
        <w:rPr>
          <w:rFonts w:ascii="Times New Roman" w:hAnsi="Times New Roman" w:cs="Times New Roman"/>
          <w:bCs/>
          <w:sz w:val="24"/>
          <w:szCs w:val="24"/>
          <w:u w:val="single"/>
        </w:rPr>
        <w:t xml:space="preserve">: </w:t>
      </w:r>
      <w:r w:rsidRPr="0074417A">
        <w:rPr>
          <w:rFonts w:ascii="Times New Roman" w:hAnsi="Times New Roman" w:cs="Times New Roman"/>
          <w:bCs/>
          <w:sz w:val="24"/>
          <w:szCs w:val="24"/>
          <w:u w:val="single"/>
        </w:rPr>
        <w:t>The Costs of the Current System and the Benefits of Reform</w:t>
      </w:r>
      <w:r>
        <w:rPr>
          <w:rFonts w:ascii="Times New Roman" w:hAnsi="Times New Roman" w:cs="Times New Roman"/>
          <w:bCs/>
          <w:sz w:val="24"/>
          <w:szCs w:val="24"/>
        </w:rPr>
        <w:t>.</w:t>
      </w:r>
    </w:p>
    <w:p w:rsidR="00727545" w:rsidRDefault="00727545" w:rsidP="00727545">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Philadelphia: The Redevelopment Authority &amp; PACDC.</w:t>
      </w:r>
    </w:p>
    <w:p w:rsidR="00727545" w:rsidRDefault="00727545" w:rsidP="00727545">
      <w:pPr>
        <w:autoSpaceDE w:val="0"/>
        <w:autoSpaceDN w:val="0"/>
        <w:adjustRightInd w:val="0"/>
        <w:spacing w:after="0" w:line="240" w:lineRule="auto"/>
        <w:rPr>
          <w:rFonts w:ascii="Times New Roman" w:hAnsi="Times New Roman" w:cs="Times New Roman"/>
          <w:color w:val="002E4F"/>
          <w:sz w:val="24"/>
          <w:szCs w:val="24"/>
        </w:rPr>
      </w:pPr>
    </w:p>
    <w:p w:rsidR="00727545" w:rsidRDefault="00727545" w:rsidP="00727545">
      <w:pPr>
        <w:autoSpaceDE w:val="0"/>
        <w:autoSpaceDN w:val="0"/>
        <w:adjustRightInd w:val="0"/>
        <w:spacing w:after="0" w:line="240" w:lineRule="auto"/>
        <w:rPr>
          <w:rFonts w:ascii="Times New Roman" w:hAnsi="Times New Roman" w:cs="Times New Roman"/>
          <w:sz w:val="24"/>
          <w:szCs w:val="24"/>
        </w:rPr>
      </w:pPr>
      <w:proofErr w:type="gramStart"/>
      <w:r w:rsidRPr="00BD704E">
        <w:rPr>
          <w:rFonts w:ascii="Times New Roman" w:hAnsi="Times New Roman" w:cs="Times New Roman"/>
          <w:sz w:val="24"/>
          <w:szCs w:val="24"/>
        </w:rPr>
        <w:t xml:space="preserve">Goldstein, Ira &amp; Colin </w:t>
      </w:r>
      <w:proofErr w:type="spellStart"/>
      <w:r w:rsidRPr="00BD704E">
        <w:rPr>
          <w:rFonts w:ascii="Times New Roman" w:hAnsi="Times New Roman" w:cs="Times New Roman"/>
          <w:sz w:val="24"/>
          <w:szCs w:val="24"/>
        </w:rPr>
        <w:t>Weidig</w:t>
      </w:r>
      <w:proofErr w:type="spellEnd"/>
      <w:r w:rsidRPr="00BD704E">
        <w:rPr>
          <w:rFonts w:ascii="Times New Roman" w:hAnsi="Times New Roman" w:cs="Times New Roman"/>
          <w:sz w:val="24"/>
          <w:szCs w:val="24"/>
        </w:rPr>
        <w:t xml:space="preserve"> with Charles </w:t>
      </w:r>
      <w:proofErr w:type="spellStart"/>
      <w:r w:rsidRPr="00BD704E">
        <w:rPr>
          <w:rFonts w:ascii="Times New Roman" w:hAnsi="Times New Roman" w:cs="Times New Roman"/>
          <w:sz w:val="24"/>
          <w:szCs w:val="24"/>
        </w:rPr>
        <w:t>Boateng</w:t>
      </w:r>
      <w:proofErr w:type="spellEnd"/>
      <w:r w:rsidRPr="00BD704E">
        <w:rPr>
          <w:rFonts w:ascii="Times New Roman" w:hAnsi="Times New Roman" w:cs="Times New Roman"/>
          <w:sz w:val="24"/>
          <w:szCs w:val="24"/>
        </w:rPr>
        <w:t xml:space="preserve">, Al Parker, Scott Haag and Dan </w:t>
      </w:r>
      <w:proofErr w:type="spellStart"/>
      <w:r w:rsidRPr="00BD704E">
        <w:rPr>
          <w:rFonts w:ascii="Times New Roman" w:hAnsi="Times New Roman" w:cs="Times New Roman"/>
          <w:sz w:val="24"/>
          <w:szCs w:val="24"/>
        </w:rPr>
        <w:t>Miodovnik</w:t>
      </w:r>
      <w:proofErr w:type="spellEnd"/>
      <w:r w:rsidRPr="00BD704E">
        <w:rPr>
          <w:rFonts w:ascii="Times New Roman" w:hAnsi="Times New Roman" w:cs="Times New Roman"/>
          <w:sz w:val="24"/>
          <w:szCs w:val="24"/>
        </w:rPr>
        <w:t>, 2011.</w:t>
      </w:r>
      <w:proofErr w:type="gramEnd"/>
      <w:r w:rsidRPr="00BD704E">
        <w:rPr>
          <w:rFonts w:ascii="Times New Roman" w:hAnsi="Times New Roman" w:cs="Times New Roman"/>
          <w:sz w:val="24"/>
          <w:szCs w:val="24"/>
        </w:rPr>
        <w:t xml:space="preserve"> </w:t>
      </w:r>
      <w:r w:rsidRPr="00BD704E">
        <w:rPr>
          <w:rFonts w:ascii="Times New Roman" w:hAnsi="Times New Roman" w:cs="Times New Roman"/>
          <w:sz w:val="24"/>
          <w:szCs w:val="24"/>
          <w:u w:val="single"/>
        </w:rPr>
        <w:t>Ph</w:t>
      </w:r>
      <w:r>
        <w:rPr>
          <w:rFonts w:ascii="Times New Roman" w:hAnsi="Times New Roman" w:cs="Times New Roman"/>
          <w:sz w:val="24"/>
          <w:szCs w:val="24"/>
          <w:u w:val="single"/>
        </w:rPr>
        <w:t xml:space="preserve">iladelphia Residential Mortgage Foreclosure Diversion Program: </w:t>
      </w:r>
      <w:r w:rsidRPr="00BD704E">
        <w:rPr>
          <w:rFonts w:ascii="Times New Roman" w:hAnsi="Times New Roman" w:cs="Times New Roman"/>
          <w:sz w:val="24"/>
          <w:szCs w:val="24"/>
          <w:u w:val="single"/>
        </w:rPr>
        <w:t>Initial Report of Findings</w:t>
      </w:r>
      <w:r>
        <w:rPr>
          <w:rFonts w:ascii="Times New Roman" w:hAnsi="Times New Roman" w:cs="Times New Roman"/>
          <w:sz w:val="24"/>
          <w:szCs w:val="24"/>
        </w:rPr>
        <w:t>. Philadelphia: The Reinvestment Fund.</w:t>
      </w:r>
    </w:p>
    <w:p w:rsidR="00727545" w:rsidRDefault="00727545" w:rsidP="00727545">
      <w:pPr>
        <w:autoSpaceDE w:val="0"/>
        <w:autoSpaceDN w:val="0"/>
        <w:adjustRightInd w:val="0"/>
        <w:spacing w:after="0" w:line="240" w:lineRule="auto"/>
        <w:rPr>
          <w:rFonts w:ascii="Times New Roman" w:hAnsi="Times New Roman" w:cs="Times New Roman"/>
          <w:sz w:val="24"/>
          <w:szCs w:val="24"/>
        </w:rPr>
      </w:pPr>
    </w:p>
    <w:p w:rsidR="00727545" w:rsidRDefault="003F2312" w:rsidP="00727545">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Hillier, Amy, Dennis </w:t>
      </w:r>
      <w:proofErr w:type="spellStart"/>
      <w:r>
        <w:rPr>
          <w:rFonts w:ascii="Times New Roman" w:hAnsi="Times New Roman" w:cs="Times New Roman"/>
          <w:sz w:val="24"/>
          <w:szCs w:val="24"/>
        </w:rPr>
        <w:t>Culhane</w:t>
      </w:r>
      <w:proofErr w:type="spellEnd"/>
      <w:r>
        <w:rPr>
          <w:rFonts w:ascii="Times New Roman" w:hAnsi="Times New Roman" w:cs="Times New Roman"/>
          <w:sz w:val="24"/>
          <w:szCs w:val="24"/>
        </w:rPr>
        <w:t xml:space="preserve">, Tony Smith, &amp; </w:t>
      </w:r>
      <w:r w:rsidRPr="000B15D1">
        <w:rPr>
          <w:rFonts w:ascii="Times New Roman" w:hAnsi="Times New Roman" w:cs="Times New Roman"/>
          <w:sz w:val="24"/>
          <w:szCs w:val="24"/>
        </w:rPr>
        <w:t>C. Dana Tomlin,</w:t>
      </w:r>
      <w:r>
        <w:rPr>
          <w:rFonts w:ascii="Times New Roman" w:hAnsi="Times New Roman" w:cs="Times New Roman"/>
          <w:sz w:val="24"/>
          <w:szCs w:val="24"/>
        </w:rPr>
        <w:t xml:space="preserve"> 2003.</w:t>
      </w:r>
      <w:proofErr w:type="gramEnd"/>
      <w:r w:rsidRPr="000B15D1">
        <w:rPr>
          <w:rFonts w:ascii="Times New Roman" w:hAnsi="Times New Roman" w:cs="Times New Roman"/>
          <w:sz w:val="24"/>
          <w:szCs w:val="24"/>
        </w:rPr>
        <w:t xml:space="preserve"> </w:t>
      </w:r>
      <w:proofErr w:type="gramStart"/>
      <w:r w:rsidR="00727545" w:rsidRPr="000B15D1">
        <w:rPr>
          <w:rFonts w:ascii="Times New Roman" w:hAnsi="Times New Roman" w:cs="Times New Roman"/>
          <w:sz w:val="24"/>
          <w:szCs w:val="24"/>
        </w:rPr>
        <w:t xml:space="preserve">Predicting Housing Abandonment with the Philadelphia </w:t>
      </w:r>
      <w:r w:rsidR="00727545">
        <w:rPr>
          <w:rFonts w:ascii="Times New Roman" w:hAnsi="Times New Roman" w:cs="Times New Roman"/>
          <w:sz w:val="24"/>
          <w:szCs w:val="24"/>
        </w:rPr>
        <w:t>Neighborhood Information System.”</w:t>
      </w:r>
      <w:proofErr w:type="gramEnd"/>
      <w:r w:rsidR="00727545">
        <w:rPr>
          <w:rFonts w:ascii="Times New Roman" w:hAnsi="Times New Roman" w:cs="Times New Roman"/>
          <w:sz w:val="24"/>
          <w:szCs w:val="24"/>
        </w:rPr>
        <w:t xml:space="preserve"> </w:t>
      </w:r>
      <w:r w:rsidR="00727545" w:rsidRPr="000B15D1">
        <w:rPr>
          <w:rFonts w:ascii="Times New Roman" w:hAnsi="Times New Roman" w:cs="Times New Roman"/>
          <w:sz w:val="24"/>
          <w:szCs w:val="24"/>
          <w:u w:val="single"/>
        </w:rPr>
        <w:t>Journal of Urban Affairs</w:t>
      </w:r>
      <w:r w:rsidR="00727545">
        <w:rPr>
          <w:rFonts w:ascii="Times New Roman" w:hAnsi="Times New Roman" w:cs="Times New Roman"/>
          <w:sz w:val="24"/>
          <w:szCs w:val="24"/>
        </w:rPr>
        <w:t xml:space="preserve">, </w:t>
      </w:r>
      <w:r w:rsidR="00727545" w:rsidRPr="000B15D1">
        <w:rPr>
          <w:rFonts w:ascii="Times New Roman" w:hAnsi="Times New Roman" w:cs="Times New Roman"/>
          <w:sz w:val="24"/>
          <w:szCs w:val="24"/>
        </w:rPr>
        <w:t>25</w:t>
      </w:r>
      <w:r w:rsidR="00727545">
        <w:rPr>
          <w:rFonts w:ascii="Times New Roman" w:hAnsi="Times New Roman" w:cs="Times New Roman"/>
          <w:sz w:val="24"/>
          <w:szCs w:val="24"/>
        </w:rPr>
        <w:t xml:space="preserve">, pp. </w:t>
      </w:r>
      <w:r w:rsidR="00727545" w:rsidRPr="000B15D1">
        <w:rPr>
          <w:rFonts w:ascii="Times New Roman" w:hAnsi="Times New Roman" w:cs="Times New Roman"/>
          <w:sz w:val="24"/>
          <w:szCs w:val="24"/>
        </w:rPr>
        <w:t>1467-9906</w:t>
      </w:r>
      <w:r w:rsidR="00727545">
        <w:rPr>
          <w:rFonts w:ascii="Times New Roman" w:hAnsi="Times New Roman" w:cs="Times New Roman"/>
          <w:sz w:val="24"/>
          <w:szCs w:val="24"/>
        </w:rPr>
        <w:t>.</w:t>
      </w:r>
    </w:p>
    <w:p w:rsidR="00727545" w:rsidRPr="00727545" w:rsidRDefault="00727545" w:rsidP="00727545">
      <w:pPr>
        <w:autoSpaceDE w:val="0"/>
        <w:autoSpaceDN w:val="0"/>
        <w:adjustRightInd w:val="0"/>
        <w:spacing w:after="0" w:line="240" w:lineRule="auto"/>
        <w:rPr>
          <w:rFonts w:ascii="Times New Roman" w:hAnsi="Times New Roman" w:cs="Times New Roman"/>
          <w:sz w:val="24"/>
          <w:szCs w:val="24"/>
        </w:rPr>
      </w:pPr>
    </w:p>
    <w:p w:rsidR="00727545" w:rsidRPr="00C261CB" w:rsidRDefault="00727545" w:rsidP="00727545">
      <w:pPr>
        <w:spacing w:after="0" w:line="240" w:lineRule="auto"/>
        <w:textAlignment w:val="top"/>
        <w:outlineLvl w:val="0"/>
        <w:rPr>
          <w:rFonts w:ascii="Times New Roman" w:eastAsia="Times New Roman" w:hAnsi="Times New Roman" w:cs="Times New Roman"/>
          <w:b/>
          <w:bCs/>
          <w:color w:val="2A2A2A"/>
          <w:kern w:val="36"/>
          <w:sz w:val="24"/>
          <w:szCs w:val="24"/>
        </w:rPr>
      </w:pPr>
      <w:proofErr w:type="gramStart"/>
      <w:r w:rsidRPr="00727545">
        <w:rPr>
          <w:rStyle w:val="A11"/>
          <w:rFonts w:ascii="Times New Roman" w:hAnsi="Times New Roman" w:cs="Times New Roman"/>
          <w:b w:val="0"/>
          <w:sz w:val="24"/>
          <w:szCs w:val="24"/>
        </w:rPr>
        <w:t>May 8 Consulting, 2011</w:t>
      </w:r>
      <w:r>
        <w:rPr>
          <w:rStyle w:val="A11"/>
          <w:rFonts w:ascii="Times New Roman" w:hAnsi="Times New Roman" w:cs="Times New Roman"/>
          <w:sz w:val="24"/>
          <w:szCs w:val="24"/>
        </w:rPr>
        <w:t>.</w:t>
      </w:r>
      <w:proofErr w:type="gramEnd"/>
      <w:r>
        <w:rPr>
          <w:rStyle w:val="A11"/>
          <w:rFonts w:ascii="Times New Roman" w:hAnsi="Times New Roman" w:cs="Times New Roman"/>
          <w:sz w:val="24"/>
          <w:szCs w:val="24"/>
        </w:rPr>
        <w:t xml:space="preserve"> </w:t>
      </w:r>
      <w:r w:rsidRPr="00C261CB">
        <w:rPr>
          <w:rFonts w:ascii="Times New Roman" w:eastAsia="Times New Roman" w:hAnsi="Times New Roman" w:cs="Times New Roman"/>
          <w:bCs/>
          <w:color w:val="2A2A2A"/>
          <w:kern w:val="36"/>
          <w:sz w:val="24"/>
          <w:szCs w:val="24"/>
          <w:u w:val="single"/>
        </w:rPr>
        <w:t>No Place Like Home</w:t>
      </w:r>
      <w:r>
        <w:rPr>
          <w:rFonts w:ascii="Times New Roman" w:eastAsia="Times New Roman" w:hAnsi="Times New Roman" w:cs="Times New Roman"/>
          <w:bCs/>
          <w:color w:val="2A2A2A"/>
          <w:kern w:val="36"/>
          <w:sz w:val="24"/>
          <w:szCs w:val="24"/>
          <w:u w:val="single"/>
        </w:rPr>
        <w:t>:</w:t>
      </w:r>
      <w:r w:rsidRPr="00DE13CC">
        <w:rPr>
          <w:rFonts w:ascii="Times New Roman" w:eastAsia="Times New Roman" w:hAnsi="Times New Roman" w:cs="Times New Roman"/>
          <w:b/>
          <w:bCs/>
          <w:color w:val="2A2A2A"/>
          <w:kern w:val="36"/>
          <w:sz w:val="24"/>
          <w:szCs w:val="24"/>
          <w:u w:val="single"/>
        </w:rPr>
        <w:t xml:space="preserve"> </w:t>
      </w:r>
      <w:r w:rsidRPr="00C261CB">
        <w:rPr>
          <w:rFonts w:ascii="Times New Roman" w:eastAsia="Times New Roman" w:hAnsi="Times New Roman" w:cs="Times New Roman"/>
          <w:color w:val="2A2A2A"/>
          <w:sz w:val="24"/>
          <w:szCs w:val="24"/>
          <w:u w:val="single"/>
        </w:rPr>
        <w:t>Philadelphia’s Approach to Foreclosure</w:t>
      </w:r>
      <w:r>
        <w:rPr>
          <w:rFonts w:ascii="Times New Roman" w:eastAsia="Times New Roman" w:hAnsi="Times New Roman" w:cs="Times New Roman"/>
          <w:color w:val="2A2A2A"/>
          <w:sz w:val="24"/>
          <w:szCs w:val="24"/>
        </w:rPr>
        <w:t>. Glenside: Regional Housing Legal Services.</w:t>
      </w:r>
      <w:r w:rsidRPr="00C261CB">
        <w:rPr>
          <w:rFonts w:ascii="Times New Roman" w:eastAsia="Times New Roman" w:hAnsi="Times New Roman" w:cs="Times New Roman"/>
          <w:color w:val="2A2A2A"/>
          <w:sz w:val="24"/>
          <w:szCs w:val="24"/>
          <w:u w:val="single"/>
        </w:rPr>
        <w:t xml:space="preserve"> </w:t>
      </w:r>
    </w:p>
    <w:p w:rsidR="00727545" w:rsidRDefault="00727545" w:rsidP="00727545">
      <w:pPr>
        <w:autoSpaceDE w:val="0"/>
        <w:autoSpaceDN w:val="0"/>
        <w:adjustRightInd w:val="0"/>
        <w:spacing w:after="0" w:line="240" w:lineRule="auto"/>
        <w:rPr>
          <w:rFonts w:ascii="Times New Roman" w:hAnsi="Times New Roman" w:cs="Times New Roman"/>
          <w:bCs/>
          <w:sz w:val="24"/>
          <w:szCs w:val="24"/>
        </w:rPr>
      </w:pPr>
    </w:p>
    <w:p w:rsidR="00727545" w:rsidRDefault="00727545" w:rsidP="00727545">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bCs/>
          <w:sz w:val="24"/>
          <w:szCs w:val="24"/>
        </w:rPr>
        <w:t>Philadelphia LISC &amp; the National Vacant Properties Campaign, 2010.</w:t>
      </w:r>
      <w:proofErr w:type="gramEnd"/>
      <w:r>
        <w:rPr>
          <w:rFonts w:ascii="Times New Roman" w:hAnsi="Times New Roman" w:cs="Times New Roman"/>
          <w:bCs/>
          <w:sz w:val="24"/>
          <w:szCs w:val="24"/>
        </w:rPr>
        <w:t xml:space="preserve"> </w:t>
      </w:r>
      <w:r w:rsidRPr="0074417A">
        <w:rPr>
          <w:rFonts w:ascii="Times New Roman" w:hAnsi="Times New Roman" w:cs="Times New Roman"/>
          <w:sz w:val="24"/>
          <w:szCs w:val="24"/>
          <w:u w:val="single"/>
        </w:rPr>
        <w:t>Improving Philadelphia’s Vacant Property Programs</w:t>
      </w:r>
      <w:r>
        <w:rPr>
          <w:rFonts w:ascii="Times New Roman" w:hAnsi="Times New Roman" w:cs="Times New Roman"/>
          <w:sz w:val="24"/>
          <w:szCs w:val="24"/>
        </w:rPr>
        <w:t>. Philadelphia: Local Initiatives Support Corporation.</w:t>
      </w:r>
    </w:p>
    <w:p w:rsidR="00727545" w:rsidRDefault="00727545" w:rsidP="00727545">
      <w:pPr>
        <w:pStyle w:val="Default"/>
      </w:pPr>
    </w:p>
    <w:p w:rsidR="00727545" w:rsidRDefault="00727545" w:rsidP="00727545">
      <w:pPr>
        <w:autoSpaceDE w:val="0"/>
        <w:autoSpaceDN w:val="0"/>
        <w:adjustRightInd w:val="0"/>
        <w:spacing w:after="0" w:line="240" w:lineRule="auto"/>
        <w:rPr>
          <w:rStyle w:val="A11"/>
          <w:rFonts w:ascii="Times New Roman" w:hAnsi="Times New Roman" w:cs="Times New Roman"/>
          <w:b w:val="0"/>
          <w:sz w:val="24"/>
          <w:szCs w:val="24"/>
        </w:rPr>
      </w:pPr>
    </w:p>
    <w:p w:rsidR="00727545" w:rsidRDefault="00727545" w:rsidP="00727545">
      <w:pPr>
        <w:autoSpaceDE w:val="0"/>
        <w:autoSpaceDN w:val="0"/>
        <w:adjustRightInd w:val="0"/>
        <w:spacing w:after="0" w:line="240" w:lineRule="auto"/>
        <w:rPr>
          <w:rStyle w:val="A11"/>
          <w:rFonts w:ascii="Times New Roman" w:hAnsi="Times New Roman" w:cs="Times New Roman"/>
          <w:b w:val="0"/>
          <w:sz w:val="24"/>
          <w:szCs w:val="24"/>
        </w:rPr>
      </w:pPr>
    </w:p>
    <w:p w:rsidR="00727545" w:rsidRDefault="00727545" w:rsidP="00727545">
      <w:pPr>
        <w:autoSpaceDE w:val="0"/>
        <w:autoSpaceDN w:val="0"/>
        <w:adjustRightInd w:val="0"/>
        <w:spacing w:after="0" w:line="240" w:lineRule="auto"/>
        <w:rPr>
          <w:rStyle w:val="A11"/>
          <w:rFonts w:ascii="Times New Roman" w:hAnsi="Times New Roman" w:cs="Times New Roman"/>
          <w:b w:val="0"/>
          <w:sz w:val="24"/>
          <w:szCs w:val="24"/>
        </w:rPr>
      </w:pPr>
      <w:r w:rsidRPr="001273F4">
        <w:rPr>
          <w:rStyle w:val="A11"/>
          <w:rFonts w:ascii="Times New Roman" w:hAnsi="Times New Roman" w:cs="Times New Roman"/>
          <w:sz w:val="24"/>
          <w:szCs w:val="24"/>
          <w:u w:val="single"/>
        </w:rPr>
        <w:t>Websites of Interest</w:t>
      </w:r>
      <w:r>
        <w:rPr>
          <w:rStyle w:val="A11"/>
          <w:rFonts w:ascii="Times New Roman" w:hAnsi="Times New Roman" w:cs="Times New Roman"/>
          <w:sz w:val="24"/>
          <w:szCs w:val="24"/>
        </w:rPr>
        <w:t>:</w:t>
      </w:r>
    </w:p>
    <w:p w:rsidR="00727545" w:rsidRDefault="00727545" w:rsidP="00727545">
      <w:pPr>
        <w:autoSpaceDE w:val="0"/>
        <w:autoSpaceDN w:val="0"/>
        <w:adjustRightInd w:val="0"/>
        <w:spacing w:after="0" w:line="240" w:lineRule="auto"/>
        <w:rPr>
          <w:rStyle w:val="A11"/>
          <w:rFonts w:ascii="Times New Roman" w:hAnsi="Times New Roman" w:cs="Times New Roman"/>
          <w:b w:val="0"/>
          <w:sz w:val="24"/>
          <w:szCs w:val="24"/>
        </w:rPr>
      </w:pPr>
    </w:p>
    <w:p w:rsidR="00727545" w:rsidRPr="001273F4" w:rsidRDefault="00727545" w:rsidP="00727545">
      <w:pPr>
        <w:autoSpaceDE w:val="0"/>
        <w:autoSpaceDN w:val="0"/>
        <w:adjustRightInd w:val="0"/>
        <w:spacing w:after="0" w:line="240" w:lineRule="auto"/>
        <w:ind w:left="720"/>
        <w:rPr>
          <w:rFonts w:ascii="Times New Roman" w:hAnsi="Times New Roman" w:cs="Times New Roman"/>
          <w:sz w:val="24"/>
          <w:szCs w:val="24"/>
        </w:rPr>
      </w:pPr>
      <w:r w:rsidRPr="001273F4">
        <w:rPr>
          <w:rFonts w:ascii="Times New Roman" w:hAnsi="Times New Roman" w:cs="Times New Roman"/>
          <w:sz w:val="24"/>
          <w:szCs w:val="24"/>
        </w:rPr>
        <w:t>http://abandonedphiladelphia.com/</w:t>
      </w:r>
    </w:p>
    <w:p w:rsidR="00727545" w:rsidRPr="001273F4" w:rsidRDefault="00727545" w:rsidP="00727545">
      <w:pPr>
        <w:autoSpaceDE w:val="0"/>
        <w:autoSpaceDN w:val="0"/>
        <w:adjustRightInd w:val="0"/>
        <w:spacing w:after="0" w:line="240" w:lineRule="auto"/>
        <w:ind w:left="720"/>
        <w:rPr>
          <w:rFonts w:ascii="Times New Roman" w:hAnsi="Times New Roman" w:cs="Times New Roman"/>
          <w:sz w:val="24"/>
          <w:szCs w:val="24"/>
        </w:rPr>
      </w:pPr>
    </w:p>
    <w:p w:rsidR="00727545" w:rsidRPr="001273F4" w:rsidRDefault="00727545" w:rsidP="00727545">
      <w:pPr>
        <w:autoSpaceDE w:val="0"/>
        <w:autoSpaceDN w:val="0"/>
        <w:adjustRightInd w:val="0"/>
        <w:spacing w:after="0" w:line="240" w:lineRule="auto"/>
        <w:ind w:left="720"/>
        <w:rPr>
          <w:rFonts w:ascii="Times New Roman" w:hAnsi="Times New Roman" w:cs="Times New Roman"/>
          <w:sz w:val="24"/>
          <w:szCs w:val="24"/>
        </w:rPr>
      </w:pPr>
      <w:r w:rsidRPr="001273F4">
        <w:rPr>
          <w:rFonts w:ascii="Times New Roman" w:hAnsi="Times New Roman" w:cs="Times New Roman"/>
          <w:sz w:val="24"/>
          <w:szCs w:val="24"/>
        </w:rPr>
        <w:t>http://planphilly.com</w:t>
      </w:r>
    </w:p>
    <w:p w:rsidR="00727545" w:rsidRPr="001273F4" w:rsidRDefault="00727545" w:rsidP="00727545">
      <w:pPr>
        <w:autoSpaceDE w:val="0"/>
        <w:autoSpaceDN w:val="0"/>
        <w:adjustRightInd w:val="0"/>
        <w:spacing w:after="0" w:line="240" w:lineRule="auto"/>
        <w:ind w:left="720"/>
        <w:rPr>
          <w:rFonts w:ascii="Times New Roman" w:hAnsi="Times New Roman" w:cs="Times New Roman"/>
          <w:sz w:val="24"/>
          <w:szCs w:val="24"/>
        </w:rPr>
      </w:pPr>
    </w:p>
    <w:p w:rsidR="00727545" w:rsidRPr="001273F4" w:rsidRDefault="00727545" w:rsidP="00727545">
      <w:pPr>
        <w:autoSpaceDE w:val="0"/>
        <w:autoSpaceDN w:val="0"/>
        <w:adjustRightInd w:val="0"/>
        <w:spacing w:after="0" w:line="240" w:lineRule="auto"/>
        <w:ind w:left="720"/>
        <w:rPr>
          <w:rFonts w:ascii="Times New Roman" w:hAnsi="Times New Roman" w:cs="Times New Roman"/>
          <w:sz w:val="24"/>
          <w:szCs w:val="24"/>
        </w:rPr>
      </w:pPr>
      <w:r w:rsidRPr="001273F4">
        <w:rPr>
          <w:rFonts w:ascii="Times New Roman" w:hAnsi="Times New Roman" w:cs="Times New Roman"/>
          <w:sz w:val="24"/>
          <w:szCs w:val="24"/>
        </w:rPr>
        <w:t>http://May8Consulting.com</w:t>
      </w:r>
    </w:p>
    <w:p w:rsidR="00727545" w:rsidRDefault="00727545" w:rsidP="00727545">
      <w:pPr>
        <w:autoSpaceDE w:val="0"/>
        <w:autoSpaceDN w:val="0"/>
        <w:adjustRightInd w:val="0"/>
        <w:spacing w:after="0" w:line="240" w:lineRule="auto"/>
        <w:rPr>
          <w:rFonts w:ascii="Times New Roman" w:hAnsi="Times New Roman" w:cs="Times New Roman"/>
          <w:b/>
          <w:sz w:val="24"/>
          <w:szCs w:val="24"/>
        </w:rPr>
      </w:pPr>
    </w:p>
    <w:p w:rsidR="00407B09" w:rsidRPr="00993E80" w:rsidRDefault="00407B09" w:rsidP="00FC077B">
      <w:pPr>
        <w:spacing w:after="120" w:line="240" w:lineRule="auto"/>
        <w:rPr>
          <w:rFonts w:ascii="Times New Roman" w:hAnsi="Times New Roman" w:cs="Times New Roman"/>
          <w:sz w:val="24"/>
          <w:szCs w:val="24"/>
        </w:rPr>
      </w:pPr>
    </w:p>
    <w:sectPr w:rsidR="00407B09" w:rsidRPr="00993E80" w:rsidSect="005F78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News Gothic MT">
    <w:altName w:val="News Gothic MT"/>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D6973"/>
    <w:multiLevelType w:val="hybridMultilevel"/>
    <w:tmpl w:val="408A6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D955D60"/>
    <w:multiLevelType w:val="hybridMultilevel"/>
    <w:tmpl w:val="AC000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2F82246"/>
    <w:multiLevelType w:val="hybridMultilevel"/>
    <w:tmpl w:val="1C0EC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793DC2"/>
    <w:multiLevelType w:val="hybridMultilevel"/>
    <w:tmpl w:val="1E480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CC1"/>
    <w:rsid w:val="000402A6"/>
    <w:rsid w:val="000A4A28"/>
    <w:rsid w:val="000E12E7"/>
    <w:rsid w:val="0020798D"/>
    <w:rsid w:val="00215E11"/>
    <w:rsid w:val="00303648"/>
    <w:rsid w:val="0032289E"/>
    <w:rsid w:val="003D0562"/>
    <w:rsid w:val="003E6623"/>
    <w:rsid w:val="003F2312"/>
    <w:rsid w:val="004070E6"/>
    <w:rsid w:val="00407B09"/>
    <w:rsid w:val="00467F96"/>
    <w:rsid w:val="005410CE"/>
    <w:rsid w:val="00552CCA"/>
    <w:rsid w:val="005F786A"/>
    <w:rsid w:val="00610D06"/>
    <w:rsid w:val="00673C16"/>
    <w:rsid w:val="006A4D30"/>
    <w:rsid w:val="00727545"/>
    <w:rsid w:val="00761F64"/>
    <w:rsid w:val="0078328B"/>
    <w:rsid w:val="00785E94"/>
    <w:rsid w:val="007C4257"/>
    <w:rsid w:val="007C490F"/>
    <w:rsid w:val="00800D10"/>
    <w:rsid w:val="008222CD"/>
    <w:rsid w:val="00850CC1"/>
    <w:rsid w:val="00993E80"/>
    <w:rsid w:val="009A470A"/>
    <w:rsid w:val="00A3388A"/>
    <w:rsid w:val="00A4121E"/>
    <w:rsid w:val="00A77772"/>
    <w:rsid w:val="00A94EB5"/>
    <w:rsid w:val="00AA414B"/>
    <w:rsid w:val="00BA73FE"/>
    <w:rsid w:val="00BE2480"/>
    <w:rsid w:val="00CB6342"/>
    <w:rsid w:val="00D1750F"/>
    <w:rsid w:val="00D959AA"/>
    <w:rsid w:val="00E057D6"/>
    <w:rsid w:val="00E81583"/>
    <w:rsid w:val="00E84778"/>
    <w:rsid w:val="00EC5DB6"/>
    <w:rsid w:val="00F7206F"/>
    <w:rsid w:val="00F80FE5"/>
    <w:rsid w:val="00F965BB"/>
    <w:rsid w:val="00FC0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CC1"/>
    <w:pPr>
      <w:ind w:left="720"/>
      <w:contextualSpacing/>
    </w:pPr>
  </w:style>
  <w:style w:type="table" w:styleId="TableGrid">
    <w:name w:val="Table Grid"/>
    <w:basedOn w:val="TableNormal"/>
    <w:uiPriority w:val="59"/>
    <w:rsid w:val="00850C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61F64"/>
    <w:rPr>
      <w:sz w:val="16"/>
      <w:szCs w:val="16"/>
    </w:rPr>
  </w:style>
  <w:style w:type="paragraph" w:styleId="CommentText">
    <w:name w:val="annotation text"/>
    <w:basedOn w:val="Normal"/>
    <w:link w:val="CommentTextChar"/>
    <w:uiPriority w:val="99"/>
    <w:semiHidden/>
    <w:unhideWhenUsed/>
    <w:rsid w:val="00761F64"/>
    <w:pPr>
      <w:spacing w:line="240" w:lineRule="auto"/>
    </w:pPr>
    <w:rPr>
      <w:sz w:val="20"/>
      <w:szCs w:val="20"/>
    </w:rPr>
  </w:style>
  <w:style w:type="character" w:customStyle="1" w:styleId="CommentTextChar">
    <w:name w:val="Comment Text Char"/>
    <w:basedOn w:val="DefaultParagraphFont"/>
    <w:link w:val="CommentText"/>
    <w:uiPriority w:val="99"/>
    <w:semiHidden/>
    <w:rsid w:val="00761F64"/>
    <w:rPr>
      <w:sz w:val="20"/>
      <w:szCs w:val="20"/>
    </w:rPr>
  </w:style>
  <w:style w:type="paragraph" w:styleId="CommentSubject">
    <w:name w:val="annotation subject"/>
    <w:basedOn w:val="CommentText"/>
    <w:next w:val="CommentText"/>
    <w:link w:val="CommentSubjectChar"/>
    <w:uiPriority w:val="99"/>
    <w:semiHidden/>
    <w:unhideWhenUsed/>
    <w:rsid w:val="00761F64"/>
    <w:rPr>
      <w:b/>
      <w:bCs/>
    </w:rPr>
  </w:style>
  <w:style w:type="character" w:customStyle="1" w:styleId="CommentSubjectChar">
    <w:name w:val="Comment Subject Char"/>
    <w:basedOn w:val="CommentTextChar"/>
    <w:link w:val="CommentSubject"/>
    <w:uiPriority w:val="99"/>
    <w:semiHidden/>
    <w:rsid w:val="00761F64"/>
    <w:rPr>
      <w:b/>
      <w:bCs/>
      <w:sz w:val="20"/>
      <w:szCs w:val="20"/>
    </w:rPr>
  </w:style>
  <w:style w:type="paragraph" w:styleId="BalloonText">
    <w:name w:val="Balloon Text"/>
    <w:basedOn w:val="Normal"/>
    <w:link w:val="BalloonTextChar"/>
    <w:uiPriority w:val="99"/>
    <w:semiHidden/>
    <w:unhideWhenUsed/>
    <w:rsid w:val="00761F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F64"/>
    <w:rPr>
      <w:rFonts w:ascii="Tahoma" w:hAnsi="Tahoma" w:cs="Tahoma"/>
      <w:sz w:val="16"/>
      <w:szCs w:val="16"/>
    </w:rPr>
  </w:style>
  <w:style w:type="paragraph" w:customStyle="1" w:styleId="Default">
    <w:name w:val="Default"/>
    <w:rsid w:val="00727545"/>
    <w:pPr>
      <w:autoSpaceDE w:val="0"/>
      <w:autoSpaceDN w:val="0"/>
      <w:adjustRightInd w:val="0"/>
      <w:spacing w:after="0" w:line="240" w:lineRule="auto"/>
    </w:pPr>
    <w:rPr>
      <w:rFonts w:ascii="News Gothic MT" w:hAnsi="News Gothic MT" w:cs="News Gothic MT"/>
      <w:color w:val="000000"/>
      <w:sz w:val="24"/>
      <w:szCs w:val="24"/>
    </w:rPr>
  </w:style>
  <w:style w:type="character" w:customStyle="1" w:styleId="A11">
    <w:name w:val="A11"/>
    <w:uiPriority w:val="99"/>
    <w:rsid w:val="00727545"/>
    <w:rPr>
      <w:rFonts w:cs="News Gothic MT"/>
      <w:b/>
      <w:bCs/>
      <w:color w:val="20161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CC1"/>
    <w:pPr>
      <w:ind w:left="720"/>
      <w:contextualSpacing/>
    </w:pPr>
  </w:style>
  <w:style w:type="table" w:styleId="TableGrid">
    <w:name w:val="Table Grid"/>
    <w:basedOn w:val="TableNormal"/>
    <w:uiPriority w:val="59"/>
    <w:rsid w:val="00850C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61F64"/>
    <w:rPr>
      <w:sz w:val="16"/>
      <w:szCs w:val="16"/>
    </w:rPr>
  </w:style>
  <w:style w:type="paragraph" w:styleId="CommentText">
    <w:name w:val="annotation text"/>
    <w:basedOn w:val="Normal"/>
    <w:link w:val="CommentTextChar"/>
    <w:uiPriority w:val="99"/>
    <w:semiHidden/>
    <w:unhideWhenUsed/>
    <w:rsid w:val="00761F64"/>
    <w:pPr>
      <w:spacing w:line="240" w:lineRule="auto"/>
    </w:pPr>
    <w:rPr>
      <w:sz w:val="20"/>
      <w:szCs w:val="20"/>
    </w:rPr>
  </w:style>
  <w:style w:type="character" w:customStyle="1" w:styleId="CommentTextChar">
    <w:name w:val="Comment Text Char"/>
    <w:basedOn w:val="DefaultParagraphFont"/>
    <w:link w:val="CommentText"/>
    <w:uiPriority w:val="99"/>
    <w:semiHidden/>
    <w:rsid w:val="00761F64"/>
    <w:rPr>
      <w:sz w:val="20"/>
      <w:szCs w:val="20"/>
    </w:rPr>
  </w:style>
  <w:style w:type="paragraph" w:styleId="CommentSubject">
    <w:name w:val="annotation subject"/>
    <w:basedOn w:val="CommentText"/>
    <w:next w:val="CommentText"/>
    <w:link w:val="CommentSubjectChar"/>
    <w:uiPriority w:val="99"/>
    <w:semiHidden/>
    <w:unhideWhenUsed/>
    <w:rsid w:val="00761F64"/>
    <w:rPr>
      <w:b/>
      <w:bCs/>
    </w:rPr>
  </w:style>
  <w:style w:type="character" w:customStyle="1" w:styleId="CommentSubjectChar">
    <w:name w:val="Comment Subject Char"/>
    <w:basedOn w:val="CommentTextChar"/>
    <w:link w:val="CommentSubject"/>
    <w:uiPriority w:val="99"/>
    <w:semiHidden/>
    <w:rsid w:val="00761F64"/>
    <w:rPr>
      <w:b/>
      <w:bCs/>
      <w:sz w:val="20"/>
      <w:szCs w:val="20"/>
    </w:rPr>
  </w:style>
  <w:style w:type="paragraph" w:styleId="BalloonText">
    <w:name w:val="Balloon Text"/>
    <w:basedOn w:val="Normal"/>
    <w:link w:val="BalloonTextChar"/>
    <w:uiPriority w:val="99"/>
    <w:semiHidden/>
    <w:unhideWhenUsed/>
    <w:rsid w:val="00761F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F64"/>
    <w:rPr>
      <w:rFonts w:ascii="Tahoma" w:hAnsi="Tahoma" w:cs="Tahoma"/>
      <w:sz w:val="16"/>
      <w:szCs w:val="16"/>
    </w:rPr>
  </w:style>
  <w:style w:type="paragraph" w:customStyle="1" w:styleId="Default">
    <w:name w:val="Default"/>
    <w:rsid w:val="00727545"/>
    <w:pPr>
      <w:autoSpaceDE w:val="0"/>
      <w:autoSpaceDN w:val="0"/>
      <w:adjustRightInd w:val="0"/>
      <w:spacing w:after="0" w:line="240" w:lineRule="auto"/>
    </w:pPr>
    <w:rPr>
      <w:rFonts w:ascii="News Gothic MT" w:hAnsi="News Gothic MT" w:cs="News Gothic MT"/>
      <w:color w:val="000000"/>
      <w:sz w:val="24"/>
      <w:szCs w:val="24"/>
    </w:rPr>
  </w:style>
  <w:style w:type="character" w:customStyle="1" w:styleId="A11">
    <w:name w:val="A11"/>
    <w:uiPriority w:val="99"/>
    <w:rsid w:val="00727545"/>
    <w:rPr>
      <w:rFonts w:cs="News Gothic MT"/>
      <w:b/>
      <w:bCs/>
      <w:color w:val="20161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1505</Words>
  <Characters>8580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2</cp:revision>
  <cp:lastPrinted>2012-04-25T13:07:00Z</cp:lastPrinted>
  <dcterms:created xsi:type="dcterms:W3CDTF">2012-04-30T00:07:00Z</dcterms:created>
  <dcterms:modified xsi:type="dcterms:W3CDTF">2012-04-30T00:07:00Z</dcterms:modified>
</cp:coreProperties>
</file>