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9ACCE" w14:textId="77777777" w:rsidR="004F5D7D" w:rsidRDefault="004E425D" w:rsidP="001F19ED">
      <w:pPr>
        <w:rPr>
          <w:b/>
          <w:szCs w:val="20"/>
        </w:rPr>
      </w:pPr>
      <w:r w:rsidRPr="001F19ED">
        <w:rPr>
          <w:b/>
          <w:szCs w:val="20"/>
        </w:rPr>
        <w:t xml:space="preserve"> </w:t>
      </w:r>
    </w:p>
    <w:p w14:paraId="41473354" w14:textId="77777777" w:rsidR="002E0E1B" w:rsidRDefault="002E0E1B" w:rsidP="001F19ED">
      <w:pPr>
        <w:rPr>
          <w:b/>
          <w:szCs w:val="20"/>
        </w:rPr>
      </w:pPr>
    </w:p>
    <w:p w14:paraId="6388E4D8" w14:textId="77777777" w:rsidR="00907F47" w:rsidRPr="004F5D7D" w:rsidRDefault="004F5D7D" w:rsidP="004F5D7D">
      <w:pPr>
        <w:jc w:val="center"/>
        <w:rPr>
          <w:b/>
          <w:sz w:val="28"/>
          <w:szCs w:val="28"/>
        </w:rPr>
      </w:pPr>
      <w:r>
        <w:rPr>
          <w:b/>
          <w:sz w:val="28"/>
          <w:szCs w:val="28"/>
        </w:rPr>
        <w:t xml:space="preserve">NNIP </w:t>
      </w:r>
      <w:r w:rsidRPr="004F5D7D">
        <w:rPr>
          <w:b/>
          <w:sz w:val="28"/>
          <w:szCs w:val="28"/>
        </w:rPr>
        <w:t>Policy on Transitioning Partners</w:t>
      </w:r>
    </w:p>
    <w:p w14:paraId="15C02FAD" w14:textId="77777777" w:rsidR="00581F2A" w:rsidRPr="001F19ED" w:rsidRDefault="00581F2A" w:rsidP="001F19ED">
      <w:pPr>
        <w:rPr>
          <w:szCs w:val="20"/>
        </w:rPr>
      </w:pPr>
      <w:r w:rsidRPr="001F19ED">
        <w:rPr>
          <w:szCs w:val="20"/>
        </w:rPr>
        <w:t xml:space="preserve">As a peer learning network, </w:t>
      </w:r>
      <w:r w:rsidR="001F19ED" w:rsidRPr="001F19ED">
        <w:rPr>
          <w:szCs w:val="20"/>
        </w:rPr>
        <w:t xml:space="preserve">both </w:t>
      </w:r>
      <w:r w:rsidRPr="001F19ED">
        <w:rPr>
          <w:szCs w:val="20"/>
        </w:rPr>
        <w:t>NNIP</w:t>
      </w:r>
      <w:r w:rsidR="001F19ED" w:rsidRPr="001F19ED">
        <w:rPr>
          <w:szCs w:val="20"/>
        </w:rPr>
        <w:t xml:space="preserve"> </w:t>
      </w:r>
      <w:r w:rsidRPr="001F19ED">
        <w:rPr>
          <w:szCs w:val="20"/>
        </w:rPr>
        <w:t xml:space="preserve">and all its local partners benefit from having strong and institutionally-stable partners. To achieve this and maintain a NNIP presence in existing partner cities, NNIP/Urban staff and the NNIP Executive Committee are committed to providing technical assistance and advice to </w:t>
      </w:r>
      <w:r w:rsidR="00493949">
        <w:rPr>
          <w:szCs w:val="20"/>
        </w:rPr>
        <w:t>partners</w:t>
      </w:r>
      <w:r w:rsidRPr="001F19ED">
        <w:rPr>
          <w:szCs w:val="20"/>
        </w:rPr>
        <w:t xml:space="preserve"> in times of </w:t>
      </w:r>
      <w:r w:rsidR="00493949">
        <w:rPr>
          <w:szCs w:val="20"/>
        </w:rPr>
        <w:t xml:space="preserve">organizational </w:t>
      </w:r>
      <w:r w:rsidR="001F19ED" w:rsidRPr="001F19ED">
        <w:rPr>
          <w:szCs w:val="20"/>
        </w:rPr>
        <w:t xml:space="preserve">instability. </w:t>
      </w:r>
    </w:p>
    <w:p w14:paraId="08F1C755" w14:textId="30EC30AD" w:rsidR="00B70A74" w:rsidRDefault="00B70A74" w:rsidP="001F19ED">
      <w:pPr>
        <w:rPr>
          <w:szCs w:val="20"/>
        </w:rPr>
      </w:pPr>
      <w:r w:rsidRPr="001F19ED">
        <w:rPr>
          <w:szCs w:val="20"/>
        </w:rPr>
        <w:t>This document outlines the policy of NNIP regarding current partner</w:t>
      </w:r>
      <w:r w:rsidR="003C51FC" w:rsidRPr="001F19ED">
        <w:rPr>
          <w:szCs w:val="20"/>
        </w:rPr>
        <w:t xml:space="preserve">s </w:t>
      </w:r>
      <w:r w:rsidRPr="001F19ED">
        <w:rPr>
          <w:szCs w:val="20"/>
        </w:rPr>
        <w:t xml:space="preserve">who face organizational transitions or </w:t>
      </w:r>
      <w:r w:rsidR="00493949">
        <w:rPr>
          <w:szCs w:val="20"/>
        </w:rPr>
        <w:t xml:space="preserve">are unable to carry out </w:t>
      </w:r>
      <w:r w:rsidR="0043795B">
        <w:rPr>
          <w:szCs w:val="20"/>
        </w:rPr>
        <w:t xml:space="preserve">local data intermediary services in the </w:t>
      </w:r>
      <w:hyperlink r:id="rId7" w:history="1">
        <w:r w:rsidR="00493949" w:rsidRPr="0043795B">
          <w:rPr>
            <w:rStyle w:val="Hyperlink"/>
            <w:szCs w:val="20"/>
          </w:rPr>
          <w:t xml:space="preserve">NNIP </w:t>
        </w:r>
        <w:r w:rsidR="0043795B" w:rsidRPr="0043795B">
          <w:rPr>
            <w:rStyle w:val="Hyperlink"/>
            <w:szCs w:val="20"/>
          </w:rPr>
          <w:t>model</w:t>
        </w:r>
      </w:hyperlink>
      <w:r w:rsidR="00493949">
        <w:rPr>
          <w:szCs w:val="20"/>
        </w:rPr>
        <w:t xml:space="preserve">. It </w:t>
      </w:r>
      <w:r w:rsidR="00226A27" w:rsidRPr="001F19ED">
        <w:rPr>
          <w:szCs w:val="20"/>
        </w:rPr>
        <w:t>defines</w:t>
      </w:r>
      <w:r w:rsidR="003C51FC" w:rsidRPr="001F19ED">
        <w:rPr>
          <w:szCs w:val="20"/>
        </w:rPr>
        <w:t xml:space="preserve"> available NNIP network support,</w:t>
      </w:r>
      <w:r w:rsidR="00226A27" w:rsidRPr="001F19ED">
        <w:rPr>
          <w:szCs w:val="20"/>
        </w:rPr>
        <w:t xml:space="preserve"> access to partn</w:t>
      </w:r>
      <w:r w:rsidR="009641FA">
        <w:rPr>
          <w:szCs w:val="20"/>
        </w:rPr>
        <w:t xml:space="preserve">er benefits, how the transitioning organization will be acknowledged </w:t>
      </w:r>
      <w:r w:rsidR="00226A27" w:rsidRPr="001F19ED">
        <w:rPr>
          <w:szCs w:val="20"/>
        </w:rPr>
        <w:t xml:space="preserve">on the NNIP website, and how the transition process might be successfully concluded. This policy was </w:t>
      </w:r>
      <w:r w:rsidR="00ED06FA">
        <w:rPr>
          <w:szCs w:val="20"/>
        </w:rPr>
        <w:t xml:space="preserve">initially </w:t>
      </w:r>
      <w:r w:rsidR="00226A27" w:rsidRPr="001F19ED">
        <w:rPr>
          <w:szCs w:val="20"/>
        </w:rPr>
        <w:t>approved by the NNIP Executive Committee on</w:t>
      </w:r>
      <w:r w:rsidR="001F19ED" w:rsidRPr="001F19ED">
        <w:rPr>
          <w:szCs w:val="20"/>
        </w:rPr>
        <w:t xml:space="preserve"> 2015</w:t>
      </w:r>
      <w:r w:rsidR="00AB3AC4">
        <w:rPr>
          <w:szCs w:val="20"/>
        </w:rPr>
        <w:t xml:space="preserve"> and </w:t>
      </w:r>
      <w:r w:rsidR="005E18F4">
        <w:rPr>
          <w:szCs w:val="20"/>
        </w:rPr>
        <w:t>is</w:t>
      </w:r>
      <w:r w:rsidR="00AB3AC4">
        <w:rPr>
          <w:szCs w:val="20"/>
        </w:rPr>
        <w:t xml:space="preserve"> periodically reviewed.</w:t>
      </w:r>
    </w:p>
    <w:p w14:paraId="3E78C64B" w14:textId="77777777" w:rsidR="00ED06FA" w:rsidRPr="001F19ED" w:rsidRDefault="00ED06FA" w:rsidP="00ED06FA">
      <w:pPr>
        <w:rPr>
          <w:szCs w:val="20"/>
        </w:rPr>
      </w:pPr>
      <w:r>
        <w:rPr>
          <w:szCs w:val="20"/>
        </w:rPr>
        <w:t xml:space="preserve">We encourage </w:t>
      </w:r>
      <w:r w:rsidR="008D50F1">
        <w:rPr>
          <w:szCs w:val="20"/>
        </w:rPr>
        <w:t xml:space="preserve">staff of any </w:t>
      </w:r>
      <w:r>
        <w:rPr>
          <w:szCs w:val="20"/>
        </w:rPr>
        <w:t xml:space="preserve">partner </w:t>
      </w:r>
      <w:r w:rsidR="008D50F1">
        <w:rPr>
          <w:szCs w:val="20"/>
        </w:rPr>
        <w:t>organization</w:t>
      </w:r>
      <w:r>
        <w:rPr>
          <w:szCs w:val="20"/>
        </w:rPr>
        <w:t xml:space="preserve"> </w:t>
      </w:r>
      <w:r w:rsidRPr="00F85D81">
        <w:rPr>
          <w:szCs w:val="20"/>
          <w:u w:val="single"/>
        </w:rPr>
        <w:t>to reach out to NNIP/Urban as early as possible</w:t>
      </w:r>
      <w:r w:rsidR="0043795B">
        <w:rPr>
          <w:szCs w:val="20"/>
        </w:rPr>
        <w:t xml:space="preserve"> </w:t>
      </w:r>
      <w:r>
        <w:rPr>
          <w:szCs w:val="20"/>
        </w:rPr>
        <w:t>when an organization may be facing institutional difficulties or have reduced capacity to perform data intermediary services. There is more we can do to be helpful early in the process and may be able to connect you with partners who have undergone similar difficulties.</w:t>
      </w:r>
    </w:p>
    <w:p w14:paraId="3A5C10D9" w14:textId="77777777" w:rsidR="00226A27" w:rsidRPr="001F19ED" w:rsidRDefault="00226A27" w:rsidP="001F19ED">
      <w:pPr>
        <w:rPr>
          <w:b/>
          <w:szCs w:val="20"/>
        </w:rPr>
      </w:pPr>
      <w:r w:rsidRPr="001F19ED">
        <w:rPr>
          <w:b/>
          <w:szCs w:val="20"/>
        </w:rPr>
        <w:t>Transitioning NNIP Partner</w:t>
      </w:r>
      <w:r w:rsidR="007D3F57">
        <w:rPr>
          <w:b/>
          <w:szCs w:val="20"/>
        </w:rPr>
        <w:t>s</w:t>
      </w:r>
    </w:p>
    <w:p w14:paraId="78FF3A5B" w14:textId="77777777" w:rsidR="00240CF0" w:rsidRPr="001F19ED" w:rsidRDefault="00ED06FA" w:rsidP="001F19ED">
      <w:pPr>
        <w:rPr>
          <w:szCs w:val="20"/>
        </w:rPr>
      </w:pPr>
      <w:r>
        <w:rPr>
          <w:szCs w:val="20"/>
        </w:rPr>
        <w:t xml:space="preserve">Over the years, </w:t>
      </w:r>
      <w:r w:rsidR="00BC4388">
        <w:rPr>
          <w:szCs w:val="20"/>
        </w:rPr>
        <w:t xml:space="preserve">several </w:t>
      </w:r>
      <w:r w:rsidR="00B70A74" w:rsidRPr="001F19ED">
        <w:rPr>
          <w:szCs w:val="20"/>
        </w:rPr>
        <w:t xml:space="preserve">NNIP partner organizations </w:t>
      </w:r>
      <w:r>
        <w:rPr>
          <w:szCs w:val="20"/>
        </w:rPr>
        <w:t>have</w:t>
      </w:r>
      <w:r w:rsidR="00B70A74" w:rsidRPr="001F19ED">
        <w:rPr>
          <w:szCs w:val="20"/>
        </w:rPr>
        <w:t xml:space="preserve"> close</w:t>
      </w:r>
      <w:r>
        <w:rPr>
          <w:szCs w:val="20"/>
        </w:rPr>
        <w:t>d</w:t>
      </w:r>
      <w:r w:rsidR="00B70A74" w:rsidRPr="001F19ED">
        <w:rPr>
          <w:szCs w:val="20"/>
        </w:rPr>
        <w:t xml:space="preserve"> or discontinue</w:t>
      </w:r>
      <w:r>
        <w:rPr>
          <w:szCs w:val="20"/>
        </w:rPr>
        <w:t>d</w:t>
      </w:r>
      <w:r w:rsidR="00B70A74" w:rsidRPr="001F19ED">
        <w:rPr>
          <w:szCs w:val="20"/>
        </w:rPr>
        <w:t xml:space="preserve"> NNIP-related service</w:t>
      </w:r>
      <w:r w:rsidR="00BC4388">
        <w:rPr>
          <w:szCs w:val="20"/>
        </w:rPr>
        <w:t>s</w:t>
      </w:r>
      <w:r w:rsidR="00B70A74" w:rsidRPr="001F19ED">
        <w:rPr>
          <w:szCs w:val="20"/>
        </w:rPr>
        <w:t>.</w:t>
      </w:r>
      <w:r w:rsidR="008C6DE2" w:rsidRPr="001F19ED">
        <w:rPr>
          <w:szCs w:val="20"/>
        </w:rPr>
        <w:t xml:space="preserve"> </w:t>
      </w:r>
      <w:r w:rsidR="006C1E35">
        <w:rPr>
          <w:szCs w:val="20"/>
        </w:rPr>
        <w:t>In many cases, the local data intermediary functions have been successfully transferred to another organization</w:t>
      </w:r>
      <w:r w:rsidR="00923D4C">
        <w:rPr>
          <w:szCs w:val="20"/>
        </w:rPr>
        <w:t xml:space="preserve"> (see list below)</w:t>
      </w:r>
      <w:r w:rsidR="006C1E35">
        <w:rPr>
          <w:szCs w:val="20"/>
        </w:rPr>
        <w:t xml:space="preserve">, so the network </w:t>
      </w:r>
      <w:r w:rsidR="00F24886">
        <w:rPr>
          <w:szCs w:val="20"/>
        </w:rPr>
        <w:t xml:space="preserve">established </w:t>
      </w:r>
      <w:r w:rsidR="006C1E35">
        <w:rPr>
          <w:szCs w:val="20"/>
        </w:rPr>
        <w:t>a provisional status category to support partners in transition.</w:t>
      </w:r>
      <w:r w:rsidR="006C1E35" w:rsidRPr="001F19ED" w:rsidDel="00ED06FA">
        <w:rPr>
          <w:szCs w:val="20"/>
        </w:rPr>
        <w:t xml:space="preserve"> </w:t>
      </w:r>
      <w:r w:rsidR="006C1E35">
        <w:rPr>
          <w:szCs w:val="20"/>
        </w:rPr>
        <w:t>Transitions</w:t>
      </w:r>
      <w:r w:rsidR="00BC4388">
        <w:rPr>
          <w:szCs w:val="20"/>
        </w:rPr>
        <w:t xml:space="preserve"> may occur when: </w:t>
      </w:r>
    </w:p>
    <w:p w14:paraId="726EB9FB" w14:textId="77777777" w:rsidR="00277166" w:rsidRPr="001F19ED" w:rsidRDefault="00277166" w:rsidP="001F19ED">
      <w:pPr>
        <w:pStyle w:val="ListParagraph"/>
        <w:numPr>
          <w:ilvl w:val="0"/>
          <w:numId w:val="2"/>
        </w:numPr>
        <w:rPr>
          <w:szCs w:val="20"/>
        </w:rPr>
      </w:pPr>
      <w:r w:rsidRPr="001F19ED">
        <w:rPr>
          <w:szCs w:val="20"/>
        </w:rPr>
        <w:t xml:space="preserve">An organization </w:t>
      </w:r>
      <w:r w:rsidR="00ED06FA">
        <w:rPr>
          <w:szCs w:val="20"/>
        </w:rPr>
        <w:t xml:space="preserve">or </w:t>
      </w:r>
      <w:r w:rsidR="0043795B">
        <w:rPr>
          <w:szCs w:val="20"/>
        </w:rPr>
        <w:t>unit</w:t>
      </w:r>
      <w:r w:rsidR="00ED06FA">
        <w:rPr>
          <w:szCs w:val="20"/>
        </w:rPr>
        <w:t xml:space="preserve"> </w:t>
      </w:r>
      <w:r w:rsidRPr="001F19ED">
        <w:rPr>
          <w:szCs w:val="20"/>
        </w:rPr>
        <w:t>changes institutional homes through a merger</w:t>
      </w:r>
      <w:r w:rsidR="00B70A74" w:rsidRPr="001F19ED">
        <w:rPr>
          <w:szCs w:val="20"/>
        </w:rPr>
        <w:t xml:space="preserve"> with another organization</w:t>
      </w:r>
      <w:r w:rsidRPr="001F19ED">
        <w:rPr>
          <w:szCs w:val="20"/>
        </w:rPr>
        <w:t xml:space="preserve"> or</w:t>
      </w:r>
      <w:r w:rsidR="00B70A74" w:rsidRPr="001F19ED">
        <w:rPr>
          <w:szCs w:val="20"/>
        </w:rPr>
        <w:t xml:space="preserve"> by</w:t>
      </w:r>
      <w:r w:rsidRPr="001F19ED">
        <w:rPr>
          <w:szCs w:val="20"/>
        </w:rPr>
        <w:t xml:space="preserve"> </w:t>
      </w:r>
      <w:r w:rsidR="00540A06" w:rsidRPr="001F19ED">
        <w:rPr>
          <w:szCs w:val="20"/>
        </w:rPr>
        <w:t xml:space="preserve">creating a </w:t>
      </w:r>
      <w:r w:rsidRPr="001F19ED">
        <w:rPr>
          <w:szCs w:val="20"/>
        </w:rPr>
        <w:t>spinoff</w:t>
      </w:r>
      <w:r w:rsidR="00540A06" w:rsidRPr="001F19ED">
        <w:rPr>
          <w:szCs w:val="20"/>
        </w:rPr>
        <w:t xml:space="preserve"> organization</w:t>
      </w:r>
      <w:r w:rsidR="00BC4388">
        <w:rPr>
          <w:szCs w:val="20"/>
        </w:rPr>
        <w:t>; or</w:t>
      </w:r>
    </w:p>
    <w:p w14:paraId="1CE1B504" w14:textId="77777777" w:rsidR="00607B08" w:rsidRPr="001F19ED" w:rsidRDefault="00607B08" w:rsidP="001F19ED">
      <w:pPr>
        <w:pStyle w:val="ListParagraph"/>
        <w:numPr>
          <w:ilvl w:val="0"/>
          <w:numId w:val="2"/>
        </w:numPr>
        <w:rPr>
          <w:szCs w:val="20"/>
        </w:rPr>
      </w:pPr>
      <w:r w:rsidRPr="001F19ED">
        <w:rPr>
          <w:szCs w:val="20"/>
        </w:rPr>
        <w:t>An organization closes altogether</w:t>
      </w:r>
      <w:r w:rsidR="00BC4388">
        <w:rPr>
          <w:szCs w:val="20"/>
        </w:rPr>
        <w:t xml:space="preserve">; or </w:t>
      </w:r>
    </w:p>
    <w:p w14:paraId="19EA2469" w14:textId="77777777" w:rsidR="00C740F2" w:rsidRPr="001F19ED" w:rsidRDefault="00211F12" w:rsidP="001F19ED">
      <w:pPr>
        <w:pStyle w:val="ListParagraph"/>
        <w:numPr>
          <w:ilvl w:val="0"/>
          <w:numId w:val="2"/>
        </w:numPr>
        <w:rPr>
          <w:szCs w:val="20"/>
        </w:rPr>
      </w:pPr>
      <w:r w:rsidRPr="001F19ED">
        <w:rPr>
          <w:szCs w:val="20"/>
        </w:rPr>
        <w:t xml:space="preserve">An organization </w:t>
      </w:r>
      <w:r w:rsidR="00607B08" w:rsidRPr="001F19ED">
        <w:rPr>
          <w:szCs w:val="20"/>
        </w:rPr>
        <w:t xml:space="preserve">remains open, but </w:t>
      </w:r>
      <w:r w:rsidRPr="001F19ED">
        <w:rPr>
          <w:szCs w:val="20"/>
        </w:rPr>
        <w:t xml:space="preserve">the </w:t>
      </w:r>
      <w:r w:rsidR="00ED06FA">
        <w:rPr>
          <w:szCs w:val="20"/>
        </w:rPr>
        <w:t xml:space="preserve">organization no longer fully performs </w:t>
      </w:r>
      <w:r w:rsidRPr="001F19ED">
        <w:rPr>
          <w:szCs w:val="20"/>
        </w:rPr>
        <w:t>NNIP</w:t>
      </w:r>
      <w:r w:rsidR="0043795B">
        <w:rPr>
          <w:szCs w:val="20"/>
        </w:rPr>
        <w:t xml:space="preserve"> functions</w:t>
      </w:r>
      <w:r w:rsidRPr="001F19ED">
        <w:rPr>
          <w:szCs w:val="20"/>
        </w:rPr>
        <w:t xml:space="preserve"> </w:t>
      </w:r>
      <w:r w:rsidR="00ED06FA">
        <w:rPr>
          <w:szCs w:val="20"/>
        </w:rPr>
        <w:t>due to changing priorities or diminished funding</w:t>
      </w:r>
      <w:r w:rsidRPr="001F19ED">
        <w:rPr>
          <w:szCs w:val="20"/>
        </w:rPr>
        <w:t>.</w:t>
      </w:r>
    </w:p>
    <w:p w14:paraId="46838E56" w14:textId="77777777" w:rsidR="005977C9" w:rsidRDefault="007D3F57" w:rsidP="005977C9">
      <w:pPr>
        <w:rPr>
          <w:szCs w:val="20"/>
        </w:rPr>
      </w:pPr>
      <w:r>
        <w:rPr>
          <w:szCs w:val="20"/>
        </w:rPr>
        <w:t>NNIP/Urban</w:t>
      </w:r>
      <w:r w:rsidRPr="001F19ED">
        <w:rPr>
          <w:szCs w:val="20"/>
        </w:rPr>
        <w:t xml:space="preserve"> staff</w:t>
      </w:r>
      <w:r w:rsidR="006C1E35">
        <w:rPr>
          <w:szCs w:val="20"/>
        </w:rPr>
        <w:t xml:space="preserve"> will make the determination</w:t>
      </w:r>
      <w:r w:rsidR="00ED06FA">
        <w:rPr>
          <w:szCs w:val="20"/>
        </w:rPr>
        <w:t xml:space="preserve"> </w:t>
      </w:r>
      <w:r w:rsidR="006C1E35">
        <w:rPr>
          <w:szCs w:val="20"/>
        </w:rPr>
        <w:t>whether</w:t>
      </w:r>
      <w:r w:rsidR="00ED06FA">
        <w:rPr>
          <w:szCs w:val="20"/>
        </w:rPr>
        <w:t xml:space="preserve"> a </w:t>
      </w:r>
      <w:r w:rsidRPr="001F19ED">
        <w:rPr>
          <w:szCs w:val="20"/>
        </w:rPr>
        <w:t>partner organization</w:t>
      </w:r>
      <w:r w:rsidR="00ED06FA">
        <w:rPr>
          <w:szCs w:val="20"/>
        </w:rPr>
        <w:t xml:space="preserve"> </w:t>
      </w:r>
      <w:r w:rsidR="006C1E35">
        <w:rPr>
          <w:szCs w:val="20"/>
        </w:rPr>
        <w:t>should be</w:t>
      </w:r>
      <w:r w:rsidR="00ED06FA">
        <w:rPr>
          <w:szCs w:val="20"/>
        </w:rPr>
        <w:t xml:space="preserve"> shifted to a transition status, with notification to the Executive Committee. </w:t>
      </w:r>
    </w:p>
    <w:p w14:paraId="3FF849F1" w14:textId="77777777" w:rsidR="006C1E35" w:rsidRPr="002E5A31" w:rsidRDefault="0043795B" w:rsidP="005977C9">
      <w:pPr>
        <w:rPr>
          <w:szCs w:val="20"/>
        </w:rPr>
      </w:pPr>
      <w:r>
        <w:rPr>
          <w:szCs w:val="20"/>
        </w:rPr>
        <w:t xml:space="preserve">NNIP/Urban staff will review the </w:t>
      </w:r>
      <w:r w:rsidR="00ED06FA">
        <w:rPr>
          <w:szCs w:val="20"/>
        </w:rPr>
        <w:t xml:space="preserve">status annually and </w:t>
      </w:r>
      <w:r>
        <w:rPr>
          <w:szCs w:val="20"/>
        </w:rPr>
        <w:t>may</w:t>
      </w:r>
      <w:r w:rsidR="00ED06FA">
        <w:rPr>
          <w:szCs w:val="20"/>
        </w:rPr>
        <w:t xml:space="preserve"> revoke</w:t>
      </w:r>
      <w:r>
        <w:rPr>
          <w:szCs w:val="20"/>
        </w:rPr>
        <w:t xml:space="preserve"> NNIP membership </w:t>
      </w:r>
      <w:r w:rsidR="00ED06FA">
        <w:rPr>
          <w:szCs w:val="20"/>
        </w:rPr>
        <w:t xml:space="preserve">if staff judge </w:t>
      </w:r>
      <w:r>
        <w:rPr>
          <w:szCs w:val="20"/>
        </w:rPr>
        <w:t>there are not consistent or viable</w:t>
      </w:r>
      <w:r w:rsidR="00ED06FA">
        <w:rPr>
          <w:szCs w:val="20"/>
        </w:rPr>
        <w:t xml:space="preserve"> efforts to rebuild the local data intermediary functions.  </w:t>
      </w:r>
      <w:r w:rsidR="005977C9" w:rsidRPr="005977C9">
        <w:rPr>
          <w:szCs w:val="20"/>
        </w:rPr>
        <w:t xml:space="preserve">In general, </w:t>
      </w:r>
      <w:r w:rsidR="002E5A31">
        <w:rPr>
          <w:szCs w:val="20"/>
        </w:rPr>
        <w:t>the network</w:t>
      </w:r>
      <w:r w:rsidR="005977C9" w:rsidRPr="005977C9">
        <w:rPr>
          <w:szCs w:val="20"/>
        </w:rPr>
        <w:t xml:space="preserve"> expect</w:t>
      </w:r>
      <w:r w:rsidR="002E5A31">
        <w:rPr>
          <w:szCs w:val="20"/>
        </w:rPr>
        <w:t>s</w:t>
      </w:r>
      <w:r w:rsidR="005977C9" w:rsidRPr="005977C9">
        <w:rPr>
          <w:szCs w:val="20"/>
        </w:rPr>
        <w:t xml:space="preserve"> transition </w:t>
      </w:r>
      <w:r w:rsidR="005977C9">
        <w:rPr>
          <w:szCs w:val="20"/>
        </w:rPr>
        <w:t xml:space="preserve">status to last up to two years. </w:t>
      </w:r>
      <w:r w:rsidR="002E5A31">
        <w:rPr>
          <w:szCs w:val="20"/>
        </w:rPr>
        <w:t>NNIP/Urban staff can make e</w:t>
      </w:r>
      <w:r w:rsidR="005977C9" w:rsidRPr="005977C9">
        <w:rPr>
          <w:szCs w:val="20"/>
        </w:rPr>
        <w:t>xceptions</w:t>
      </w:r>
      <w:r w:rsidR="002E5A31">
        <w:rPr>
          <w:szCs w:val="20"/>
        </w:rPr>
        <w:t xml:space="preserve"> to this </w:t>
      </w:r>
      <w:r w:rsidR="005977C9" w:rsidRPr="005977C9">
        <w:rPr>
          <w:szCs w:val="20"/>
        </w:rPr>
        <w:t>if the effort to rebuild is ongoing and reasonable progress is being made.</w:t>
      </w:r>
    </w:p>
    <w:p w14:paraId="33396E14" w14:textId="77777777" w:rsidR="005977C9" w:rsidRDefault="005977C9" w:rsidP="001F19ED">
      <w:pPr>
        <w:rPr>
          <w:b/>
          <w:szCs w:val="20"/>
        </w:rPr>
      </w:pPr>
    </w:p>
    <w:p w14:paraId="3D40D2B4" w14:textId="77777777" w:rsidR="005977C9" w:rsidRDefault="005977C9">
      <w:pPr>
        <w:rPr>
          <w:b/>
          <w:szCs w:val="20"/>
        </w:rPr>
      </w:pPr>
      <w:r>
        <w:rPr>
          <w:b/>
          <w:szCs w:val="20"/>
        </w:rPr>
        <w:br w:type="page"/>
      </w:r>
    </w:p>
    <w:p w14:paraId="7AE00A45" w14:textId="77777777" w:rsidR="00910427" w:rsidRPr="001F19ED" w:rsidRDefault="00DF28DC" w:rsidP="001F19ED">
      <w:pPr>
        <w:rPr>
          <w:b/>
          <w:szCs w:val="20"/>
        </w:rPr>
      </w:pPr>
      <w:r w:rsidRPr="001F19ED">
        <w:rPr>
          <w:b/>
          <w:szCs w:val="20"/>
        </w:rPr>
        <w:lastRenderedPageBreak/>
        <w:t xml:space="preserve">Access to </w:t>
      </w:r>
      <w:r w:rsidR="00BC4388">
        <w:rPr>
          <w:b/>
          <w:szCs w:val="20"/>
        </w:rPr>
        <w:t xml:space="preserve">Network Assistance and </w:t>
      </w:r>
      <w:r w:rsidR="00226A27" w:rsidRPr="001F19ED">
        <w:rPr>
          <w:b/>
          <w:szCs w:val="20"/>
        </w:rPr>
        <w:t xml:space="preserve">NNIP </w:t>
      </w:r>
      <w:r w:rsidRPr="001F19ED">
        <w:rPr>
          <w:b/>
          <w:szCs w:val="20"/>
        </w:rPr>
        <w:t xml:space="preserve">Partner </w:t>
      </w:r>
      <w:r w:rsidR="00534046">
        <w:rPr>
          <w:b/>
          <w:szCs w:val="20"/>
        </w:rPr>
        <w:t>B</w:t>
      </w:r>
      <w:r w:rsidRPr="001F19ED">
        <w:rPr>
          <w:b/>
          <w:szCs w:val="20"/>
        </w:rPr>
        <w:t>enefits</w:t>
      </w:r>
      <w:r w:rsidR="00910427" w:rsidRPr="001F19ED">
        <w:rPr>
          <w:b/>
          <w:szCs w:val="20"/>
        </w:rPr>
        <w:t xml:space="preserve"> </w:t>
      </w:r>
      <w:r w:rsidR="00A854FC">
        <w:rPr>
          <w:b/>
          <w:szCs w:val="20"/>
        </w:rPr>
        <w:t>during</w:t>
      </w:r>
      <w:r w:rsidR="009F700B">
        <w:rPr>
          <w:b/>
          <w:szCs w:val="20"/>
        </w:rPr>
        <w:t xml:space="preserve"> Transition </w:t>
      </w:r>
    </w:p>
    <w:p w14:paraId="7FF6F2D2" w14:textId="77777777" w:rsidR="005977C9" w:rsidRPr="002955D3" w:rsidRDefault="009F700B" w:rsidP="005977C9">
      <w:pPr>
        <w:rPr>
          <w:b/>
          <w:szCs w:val="20"/>
        </w:rPr>
      </w:pPr>
      <w:r>
        <w:rPr>
          <w:szCs w:val="20"/>
        </w:rPr>
        <w:t xml:space="preserve">When an NNIP partner organization </w:t>
      </w:r>
      <w:r w:rsidR="005977C9">
        <w:rPr>
          <w:szCs w:val="20"/>
        </w:rPr>
        <w:t xml:space="preserve">shifts to transition status, they should identify a point person for NNIP communications.  NNIP/Urban staff will </w:t>
      </w:r>
      <w:r w:rsidR="005977C9" w:rsidRPr="001F19ED">
        <w:rPr>
          <w:szCs w:val="20"/>
        </w:rPr>
        <w:t>attempt</w:t>
      </w:r>
      <w:r w:rsidR="005977C9">
        <w:rPr>
          <w:szCs w:val="20"/>
        </w:rPr>
        <w:t xml:space="preserve"> to maintain regular contact </w:t>
      </w:r>
      <w:r w:rsidR="005977C9" w:rsidRPr="001F19ED">
        <w:rPr>
          <w:szCs w:val="20"/>
        </w:rPr>
        <w:t xml:space="preserve">to monitor </w:t>
      </w:r>
      <w:r w:rsidR="005977C9">
        <w:rPr>
          <w:szCs w:val="20"/>
        </w:rPr>
        <w:t>a partner’s situation</w:t>
      </w:r>
      <w:r w:rsidR="005977C9" w:rsidRPr="001F19ED">
        <w:rPr>
          <w:szCs w:val="20"/>
        </w:rPr>
        <w:t xml:space="preserve"> and provide advice or support when </w:t>
      </w:r>
      <w:r w:rsidR="005977C9">
        <w:rPr>
          <w:szCs w:val="20"/>
        </w:rPr>
        <w:t>requested</w:t>
      </w:r>
      <w:r w:rsidR="005977C9" w:rsidRPr="001F19ED">
        <w:rPr>
          <w:szCs w:val="20"/>
        </w:rPr>
        <w:t>.</w:t>
      </w:r>
      <w:r w:rsidR="005977C9">
        <w:rPr>
          <w:szCs w:val="20"/>
        </w:rPr>
        <w:t xml:space="preserve"> Partners in transition are expected to p</w:t>
      </w:r>
      <w:r w:rsidR="005977C9" w:rsidRPr="002955D3">
        <w:rPr>
          <w:szCs w:val="20"/>
        </w:rPr>
        <w:t xml:space="preserve">articipate in </w:t>
      </w:r>
      <w:r w:rsidR="005977C9">
        <w:rPr>
          <w:szCs w:val="20"/>
        </w:rPr>
        <w:t xml:space="preserve">these </w:t>
      </w:r>
      <w:r w:rsidR="005977C9" w:rsidRPr="002955D3">
        <w:rPr>
          <w:szCs w:val="20"/>
        </w:rPr>
        <w:t>periodic check-ins with NNIPHQ staff.</w:t>
      </w:r>
    </w:p>
    <w:p w14:paraId="3FCE68EF" w14:textId="77777777" w:rsidR="00910427" w:rsidRPr="001F19ED" w:rsidRDefault="005977C9" w:rsidP="001F19ED">
      <w:pPr>
        <w:rPr>
          <w:szCs w:val="20"/>
        </w:rPr>
      </w:pPr>
      <w:r>
        <w:rPr>
          <w:szCs w:val="20"/>
        </w:rPr>
        <w:t>A</w:t>
      </w:r>
      <w:r w:rsidR="00910427" w:rsidRPr="001F19ED">
        <w:rPr>
          <w:szCs w:val="20"/>
        </w:rPr>
        <w:t xml:space="preserve">ccess to </w:t>
      </w:r>
      <w:r w:rsidR="00534046">
        <w:rPr>
          <w:szCs w:val="20"/>
        </w:rPr>
        <w:t>p</w:t>
      </w:r>
      <w:r w:rsidR="00910427" w:rsidRPr="001F19ED">
        <w:rPr>
          <w:szCs w:val="20"/>
        </w:rPr>
        <w:t xml:space="preserve">artner </w:t>
      </w:r>
      <w:hyperlink r:id="rId8" w:history="1">
        <w:r w:rsidR="00910427" w:rsidRPr="001F19ED">
          <w:rPr>
            <w:rStyle w:val="Hyperlink"/>
            <w:szCs w:val="20"/>
          </w:rPr>
          <w:t>ben</w:t>
        </w:r>
        <w:r w:rsidR="00910427" w:rsidRPr="001F19ED">
          <w:rPr>
            <w:rStyle w:val="Hyperlink"/>
            <w:szCs w:val="20"/>
          </w:rPr>
          <w:t>e</w:t>
        </w:r>
        <w:r w:rsidR="00910427" w:rsidRPr="001F19ED">
          <w:rPr>
            <w:rStyle w:val="Hyperlink"/>
            <w:szCs w:val="20"/>
          </w:rPr>
          <w:t>fits</w:t>
        </w:r>
      </w:hyperlink>
      <w:r w:rsidR="00AE57E2">
        <w:rPr>
          <w:szCs w:val="20"/>
        </w:rPr>
        <w:t xml:space="preserve"> (</w:t>
      </w:r>
      <w:r w:rsidR="00C621E3">
        <w:rPr>
          <w:szCs w:val="20"/>
        </w:rPr>
        <w:t>such as</w:t>
      </w:r>
      <w:r w:rsidR="00C0284C">
        <w:rPr>
          <w:szCs w:val="20"/>
        </w:rPr>
        <w:t xml:space="preserve"> the NNIP partnership meetings, </w:t>
      </w:r>
      <w:r w:rsidR="009F700B">
        <w:rPr>
          <w:szCs w:val="20"/>
        </w:rPr>
        <w:t>email lists</w:t>
      </w:r>
      <w:r w:rsidR="00C0284C">
        <w:rPr>
          <w:szCs w:val="20"/>
        </w:rPr>
        <w:t xml:space="preserve"> and voting for the Executive Committee</w:t>
      </w:r>
      <w:r w:rsidR="00AE57E2">
        <w:rPr>
          <w:szCs w:val="20"/>
        </w:rPr>
        <w:t>)</w:t>
      </w:r>
      <w:r w:rsidR="009F700B">
        <w:rPr>
          <w:szCs w:val="20"/>
        </w:rPr>
        <w:t xml:space="preserve"> </w:t>
      </w:r>
      <w:r w:rsidR="00246A0A">
        <w:rPr>
          <w:szCs w:val="20"/>
        </w:rPr>
        <w:t xml:space="preserve">during the transition </w:t>
      </w:r>
      <w:r w:rsidR="00910427" w:rsidRPr="001F19ED">
        <w:rPr>
          <w:szCs w:val="20"/>
        </w:rPr>
        <w:t xml:space="preserve">will be determined on a case-by-case basis by </w:t>
      </w:r>
      <w:r w:rsidR="00534046">
        <w:rPr>
          <w:szCs w:val="20"/>
        </w:rPr>
        <w:t>NNIP/Urban</w:t>
      </w:r>
      <w:r w:rsidR="00910427" w:rsidRPr="001F19ED">
        <w:rPr>
          <w:szCs w:val="20"/>
        </w:rPr>
        <w:t xml:space="preserve"> staff in consultation with the</w:t>
      </w:r>
      <w:r w:rsidR="00226A27" w:rsidRPr="001F19ED">
        <w:rPr>
          <w:szCs w:val="20"/>
        </w:rPr>
        <w:t xml:space="preserve"> NNIP</w:t>
      </w:r>
      <w:r w:rsidR="00910427" w:rsidRPr="001F19ED">
        <w:rPr>
          <w:szCs w:val="20"/>
        </w:rPr>
        <w:t xml:space="preserve"> Executive Committee</w:t>
      </w:r>
      <w:r w:rsidR="00226A27" w:rsidRPr="001F19ED">
        <w:rPr>
          <w:szCs w:val="20"/>
        </w:rPr>
        <w:t>.</w:t>
      </w:r>
    </w:p>
    <w:p w14:paraId="6C9C8265" w14:textId="77777777" w:rsidR="00910427" w:rsidRPr="001F19ED" w:rsidRDefault="00226A27" w:rsidP="001F19ED">
      <w:pPr>
        <w:pStyle w:val="ListParagraph"/>
        <w:numPr>
          <w:ilvl w:val="0"/>
          <w:numId w:val="2"/>
        </w:numPr>
        <w:rPr>
          <w:szCs w:val="20"/>
        </w:rPr>
      </w:pPr>
      <w:r w:rsidRPr="001F19ED">
        <w:rPr>
          <w:szCs w:val="20"/>
        </w:rPr>
        <w:t>Part of the services provided by the NNIP network by Urban Institute staff is to assist local stakeholders as they identify the options for moving forward, including advising them as they gather support for the need for NNIP functions and identify a new potential home.</w:t>
      </w:r>
      <w:r w:rsidR="008B394A" w:rsidRPr="001F19ED">
        <w:rPr>
          <w:szCs w:val="20"/>
        </w:rPr>
        <w:t xml:space="preserve"> </w:t>
      </w:r>
      <w:r w:rsidR="00975A9F" w:rsidRPr="001F19ED">
        <w:rPr>
          <w:szCs w:val="20"/>
        </w:rPr>
        <w:t>Within the constraints of the current</w:t>
      </w:r>
      <w:r w:rsidR="00246A0A">
        <w:rPr>
          <w:szCs w:val="20"/>
        </w:rPr>
        <w:t xml:space="preserve"> network</w:t>
      </w:r>
      <w:r w:rsidR="00975A9F" w:rsidRPr="001F19ED">
        <w:rPr>
          <w:szCs w:val="20"/>
        </w:rPr>
        <w:t xml:space="preserve"> funding, </w:t>
      </w:r>
      <w:r w:rsidR="00534046">
        <w:rPr>
          <w:szCs w:val="20"/>
        </w:rPr>
        <w:t>NNIP/Urban</w:t>
      </w:r>
      <w:r w:rsidR="000B3F67" w:rsidRPr="001F19ED">
        <w:rPr>
          <w:szCs w:val="20"/>
        </w:rPr>
        <w:t xml:space="preserve"> staff will provide support to f</w:t>
      </w:r>
      <w:r w:rsidR="00910427" w:rsidRPr="001F19ED">
        <w:rPr>
          <w:szCs w:val="20"/>
        </w:rPr>
        <w:t xml:space="preserve">ormer partner staff </w:t>
      </w:r>
      <w:r w:rsidR="00F24886">
        <w:rPr>
          <w:szCs w:val="20"/>
        </w:rPr>
        <w:t xml:space="preserve">or other local champions </w:t>
      </w:r>
      <w:r w:rsidR="00910427" w:rsidRPr="001F19ED">
        <w:rPr>
          <w:szCs w:val="20"/>
        </w:rPr>
        <w:t>who are actively working to rebuild their capacity to provide data or to transfer responsibility of the functions to another organization</w:t>
      </w:r>
      <w:r w:rsidR="000B3F67" w:rsidRPr="001F19ED">
        <w:rPr>
          <w:szCs w:val="20"/>
        </w:rPr>
        <w:t>.</w:t>
      </w:r>
      <w:r w:rsidR="00964341" w:rsidRPr="001F19ED">
        <w:rPr>
          <w:szCs w:val="20"/>
        </w:rPr>
        <w:t xml:space="preserve"> These individuals can maintain access to the website and various </w:t>
      </w:r>
      <w:r w:rsidR="00A7014F" w:rsidRPr="001F19ED">
        <w:rPr>
          <w:szCs w:val="20"/>
        </w:rPr>
        <w:t>comm</w:t>
      </w:r>
      <w:r w:rsidR="00C621E3">
        <w:rPr>
          <w:szCs w:val="20"/>
        </w:rPr>
        <w:t>unication outlets</w:t>
      </w:r>
      <w:r w:rsidR="00A7014F" w:rsidRPr="001F19ED">
        <w:rPr>
          <w:szCs w:val="20"/>
        </w:rPr>
        <w:t xml:space="preserve"> and are welcome at</w:t>
      </w:r>
      <w:r w:rsidR="00964341" w:rsidRPr="001F19ED">
        <w:rPr>
          <w:szCs w:val="20"/>
        </w:rPr>
        <w:t xml:space="preserve"> the partner meetings.</w:t>
      </w:r>
    </w:p>
    <w:p w14:paraId="4B435A45" w14:textId="77777777" w:rsidR="005A584A" w:rsidRPr="00DF74F5" w:rsidRDefault="00534046" w:rsidP="00DF74F5">
      <w:pPr>
        <w:pStyle w:val="ListParagraph"/>
        <w:numPr>
          <w:ilvl w:val="0"/>
          <w:numId w:val="2"/>
        </w:numPr>
        <w:rPr>
          <w:szCs w:val="20"/>
        </w:rPr>
      </w:pPr>
      <w:r>
        <w:rPr>
          <w:szCs w:val="20"/>
        </w:rPr>
        <w:t>NNIP/Urban</w:t>
      </w:r>
      <w:r w:rsidR="00CA2A62" w:rsidRPr="001F19ED">
        <w:rPr>
          <w:szCs w:val="20"/>
        </w:rPr>
        <w:t xml:space="preserve"> staff can</w:t>
      </w:r>
      <w:r w:rsidR="00A108E5" w:rsidRPr="001F19ED">
        <w:rPr>
          <w:szCs w:val="20"/>
        </w:rPr>
        <w:t xml:space="preserve"> also</w:t>
      </w:r>
      <w:r w:rsidR="00CA2A62" w:rsidRPr="001F19ED">
        <w:rPr>
          <w:szCs w:val="20"/>
        </w:rPr>
        <w:t xml:space="preserve"> invite individual staff </w:t>
      </w:r>
      <w:r w:rsidR="00A86992" w:rsidRPr="001F19ED">
        <w:rPr>
          <w:szCs w:val="20"/>
        </w:rPr>
        <w:t xml:space="preserve">of the former partner organizations </w:t>
      </w:r>
      <w:r w:rsidR="00CA2A62" w:rsidRPr="001F19ED">
        <w:rPr>
          <w:szCs w:val="20"/>
        </w:rPr>
        <w:t xml:space="preserve">who meet the criteria to join the </w:t>
      </w:r>
      <w:hyperlink r:id="rId9" w:history="1">
        <w:r w:rsidR="00764002" w:rsidRPr="001F19ED">
          <w:rPr>
            <w:rStyle w:val="Hyperlink"/>
            <w:szCs w:val="20"/>
          </w:rPr>
          <w:t>NNIP Alumni Net</w:t>
        </w:r>
        <w:r w:rsidR="00764002" w:rsidRPr="001F19ED">
          <w:rPr>
            <w:rStyle w:val="Hyperlink"/>
            <w:szCs w:val="20"/>
          </w:rPr>
          <w:t>w</w:t>
        </w:r>
        <w:r w:rsidR="00764002" w:rsidRPr="001F19ED">
          <w:rPr>
            <w:rStyle w:val="Hyperlink"/>
            <w:szCs w:val="20"/>
          </w:rPr>
          <w:t>ork</w:t>
        </w:r>
      </w:hyperlink>
      <w:r w:rsidR="00764002" w:rsidRPr="001F19ED">
        <w:rPr>
          <w:szCs w:val="20"/>
        </w:rPr>
        <w:t>.</w:t>
      </w:r>
      <w:r w:rsidR="00CA2A62" w:rsidRPr="001F19ED">
        <w:rPr>
          <w:szCs w:val="20"/>
        </w:rPr>
        <w:t xml:space="preserve"> </w:t>
      </w:r>
    </w:p>
    <w:p w14:paraId="71EAF363" w14:textId="77777777" w:rsidR="00226A27" w:rsidRPr="001F19ED" w:rsidRDefault="00B379DC" w:rsidP="001F19ED">
      <w:pPr>
        <w:keepNext/>
        <w:spacing w:after="240"/>
        <w:rPr>
          <w:b/>
          <w:szCs w:val="20"/>
        </w:rPr>
      </w:pPr>
      <w:r>
        <w:rPr>
          <w:b/>
          <w:szCs w:val="20"/>
        </w:rPr>
        <w:t>Acknowledgment on the</w:t>
      </w:r>
      <w:r w:rsidR="00395F8D" w:rsidRPr="001F19ED">
        <w:rPr>
          <w:b/>
          <w:szCs w:val="20"/>
        </w:rPr>
        <w:t xml:space="preserve"> NNIP Website</w:t>
      </w:r>
    </w:p>
    <w:p w14:paraId="5D881380" w14:textId="77777777" w:rsidR="00395F8D" w:rsidRPr="001F19ED" w:rsidRDefault="000671DA" w:rsidP="001F19ED">
      <w:pPr>
        <w:spacing w:after="240"/>
        <w:rPr>
          <w:szCs w:val="20"/>
        </w:rPr>
      </w:pPr>
      <w:r>
        <w:rPr>
          <w:szCs w:val="20"/>
        </w:rPr>
        <w:t>The</w:t>
      </w:r>
      <w:r w:rsidR="00395F8D" w:rsidRPr="001F19ED">
        <w:rPr>
          <w:szCs w:val="20"/>
        </w:rPr>
        <w:t xml:space="preserve"> circumstances of the transition and </w:t>
      </w:r>
      <w:r>
        <w:rPr>
          <w:szCs w:val="20"/>
        </w:rPr>
        <w:t xml:space="preserve">the </w:t>
      </w:r>
      <w:r w:rsidR="00395F8D" w:rsidRPr="001F19ED">
        <w:rPr>
          <w:szCs w:val="20"/>
        </w:rPr>
        <w:t>engagement by</w:t>
      </w:r>
      <w:r w:rsidR="008B394A" w:rsidRPr="001F19ED">
        <w:rPr>
          <w:szCs w:val="20"/>
        </w:rPr>
        <w:t xml:space="preserve"> the partner organization staff</w:t>
      </w:r>
      <w:r>
        <w:rPr>
          <w:szCs w:val="20"/>
        </w:rPr>
        <w:t xml:space="preserve"> will determine whether the partner organization will remain listed as such on the</w:t>
      </w:r>
      <w:r w:rsidR="008B394A" w:rsidRPr="001F19ED">
        <w:rPr>
          <w:szCs w:val="20"/>
        </w:rPr>
        <w:t xml:space="preserve"> NNIP website. </w:t>
      </w:r>
    </w:p>
    <w:p w14:paraId="4860FD20" w14:textId="77777777" w:rsidR="00A91A00" w:rsidRPr="001F19ED" w:rsidRDefault="00A91A00" w:rsidP="001F19ED">
      <w:pPr>
        <w:pStyle w:val="ListParagraph"/>
        <w:numPr>
          <w:ilvl w:val="0"/>
          <w:numId w:val="6"/>
        </w:numPr>
        <w:spacing w:after="240"/>
        <w:rPr>
          <w:szCs w:val="20"/>
        </w:rPr>
      </w:pPr>
      <w:r w:rsidRPr="001F19ED">
        <w:rPr>
          <w:szCs w:val="20"/>
        </w:rPr>
        <w:t>If there is no local stake</w:t>
      </w:r>
      <w:r w:rsidR="00CF02EE" w:rsidRPr="001F19ED">
        <w:rPr>
          <w:szCs w:val="20"/>
        </w:rPr>
        <w:t>holder working to reorganize</w:t>
      </w:r>
      <w:r w:rsidRPr="001F19ED">
        <w:rPr>
          <w:szCs w:val="20"/>
        </w:rPr>
        <w:t xml:space="preserve">, </w:t>
      </w:r>
      <w:r w:rsidR="00534046">
        <w:rPr>
          <w:szCs w:val="20"/>
        </w:rPr>
        <w:t>NNIP/Urban</w:t>
      </w:r>
      <w:r w:rsidRPr="001F19ED">
        <w:rPr>
          <w:szCs w:val="20"/>
        </w:rPr>
        <w:t xml:space="preserve"> staff will un-publish the organization/city</w:t>
      </w:r>
      <w:r w:rsidR="00CF02EE" w:rsidRPr="001F19ED">
        <w:rPr>
          <w:szCs w:val="20"/>
        </w:rPr>
        <w:t xml:space="preserve"> as a partner</w:t>
      </w:r>
      <w:r w:rsidRPr="001F19ED">
        <w:rPr>
          <w:szCs w:val="20"/>
        </w:rPr>
        <w:t xml:space="preserve"> </w:t>
      </w:r>
      <w:r w:rsidR="00CF02EE" w:rsidRPr="001F19ED">
        <w:rPr>
          <w:szCs w:val="20"/>
        </w:rPr>
        <w:t>on</w:t>
      </w:r>
      <w:r w:rsidRPr="001F19ED">
        <w:rPr>
          <w:szCs w:val="20"/>
        </w:rPr>
        <w:t xml:space="preserve"> the website.</w:t>
      </w:r>
      <w:r w:rsidR="00CF02EE" w:rsidRPr="001F19ED">
        <w:rPr>
          <w:szCs w:val="20"/>
        </w:rPr>
        <w:t xml:space="preserve"> Previous publications and activities will remain on the site with credit to the previous partner organization</w:t>
      </w:r>
      <w:r w:rsidR="008B394A" w:rsidRPr="001F19ED">
        <w:rPr>
          <w:szCs w:val="20"/>
        </w:rPr>
        <w:t>.</w:t>
      </w:r>
    </w:p>
    <w:p w14:paraId="4BDB967B" w14:textId="77777777" w:rsidR="00CF02EE" w:rsidRPr="001F19ED" w:rsidRDefault="00CF02EE" w:rsidP="001F19ED">
      <w:pPr>
        <w:pStyle w:val="ListParagraph"/>
        <w:numPr>
          <w:ilvl w:val="0"/>
          <w:numId w:val="3"/>
        </w:numPr>
        <w:rPr>
          <w:szCs w:val="20"/>
        </w:rPr>
      </w:pPr>
      <w:r w:rsidRPr="001F19ED">
        <w:rPr>
          <w:szCs w:val="20"/>
        </w:rPr>
        <w:t>If there is former staff or a</w:t>
      </w:r>
      <w:r w:rsidR="008C6DE2" w:rsidRPr="001F19ED">
        <w:rPr>
          <w:szCs w:val="20"/>
        </w:rPr>
        <w:t xml:space="preserve"> </w:t>
      </w:r>
      <w:r w:rsidRPr="001F19ED">
        <w:rPr>
          <w:szCs w:val="20"/>
        </w:rPr>
        <w:t xml:space="preserve">local stakeholder actively working to reorganize, </w:t>
      </w:r>
      <w:r w:rsidR="00534046">
        <w:rPr>
          <w:szCs w:val="20"/>
        </w:rPr>
        <w:t>NNIP</w:t>
      </w:r>
      <w:r w:rsidRPr="001F19ED">
        <w:rPr>
          <w:szCs w:val="20"/>
        </w:rPr>
        <w:t>/</w:t>
      </w:r>
      <w:r w:rsidR="00534046">
        <w:rPr>
          <w:szCs w:val="20"/>
        </w:rPr>
        <w:t>Urban</w:t>
      </w:r>
      <w:r w:rsidRPr="001F19ED">
        <w:rPr>
          <w:szCs w:val="20"/>
        </w:rPr>
        <w:t xml:space="preserve"> staff will consult with the person to determine whether it is advantageous to the local process to keep the city/organizat</w:t>
      </w:r>
      <w:r w:rsidR="00A50D70" w:rsidRPr="001F19ED">
        <w:rPr>
          <w:szCs w:val="20"/>
        </w:rPr>
        <w:t xml:space="preserve">ion listed on the site or not. </w:t>
      </w:r>
      <w:r w:rsidR="00C56922" w:rsidRPr="001F19ED">
        <w:rPr>
          <w:szCs w:val="20"/>
        </w:rPr>
        <w:t xml:space="preserve">To remain listed on the site, </w:t>
      </w:r>
      <w:r w:rsidR="008B394A" w:rsidRPr="001F19ED">
        <w:rPr>
          <w:szCs w:val="20"/>
        </w:rPr>
        <w:t xml:space="preserve">an individual </w:t>
      </w:r>
      <w:r w:rsidR="00C56922" w:rsidRPr="001F19ED">
        <w:rPr>
          <w:szCs w:val="20"/>
        </w:rPr>
        <w:t xml:space="preserve">must be identified who is willing and able to serve as the contact for their area </w:t>
      </w:r>
      <w:r w:rsidR="007A7F04" w:rsidRPr="001F19ED">
        <w:rPr>
          <w:szCs w:val="20"/>
        </w:rPr>
        <w:t>for</w:t>
      </w:r>
      <w:r w:rsidR="00C56922" w:rsidRPr="001F19ED">
        <w:rPr>
          <w:szCs w:val="20"/>
        </w:rPr>
        <w:t xml:space="preserve"> </w:t>
      </w:r>
      <w:r w:rsidR="00A86992" w:rsidRPr="001F19ED">
        <w:rPr>
          <w:szCs w:val="20"/>
        </w:rPr>
        <w:t>any inquiries through the site</w:t>
      </w:r>
      <w:r w:rsidR="00C56922" w:rsidRPr="001F19ED">
        <w:rPr>
          <w:szCs w:val="20"/>
        </w:rPr>
        <w:t xml:space="preserve">. </w:t>
      </w:r>
      <w:r w:rsidR="007A7F04" w:rsidRPr="001F19ED">
        <w:rPr>
          <w:szCs w:val="20"/>
        </w:rPr>
        <w:t>If the city/organization remains listed</w:t>
      </w:r>
      <w:r w:rsidR="008C6DE2" w:rsidRPr="001F19ED">
        <w:rPr>
          <w:szCs w:val="20"/>
        </w:rPr>
        <w:t>, a</w:t>
      </w:r>
      <w:r w:rsidR="00246A0A">
        <w:rPr>
          <w:szCs w:val="20"/>
        </w:rPr>
        <w:t>n asterisk will indicate the partner is transition and a</w:t>
      </w:r>
      <w:r w:rsidR="008C6DE2" w:rsidRPr="001F19ED">
        <w:rPr>
          <w:szCs w:val="20"/>
        </w:rPr>
        <w:t xml:space="preserve"> note will</w:t>
      </w:r>
      <w:r w:rsidR="00C56922" w:rsidRPr="001F19ED">
        <w:rPr>
          <w:szCs w:val="20"/>
        </w:rPr>
        <w:t xml:space="preserve"> also</w:t>
      </w:r>
      <w:r w:rsidR="008C6DE2" w:rsidRPr="001F19ED">
        <w:rPr>
          <w:szCs w:val="20"/>
        </w:rPr>
        <w:t xml:space="preserve"> be </w:t>
      </w:r>
      <w:r w:rsidR="006376BE" w:rsidRPr="001F19ED">
        <w:rPr>
          <w:szCs w:val="20"/>
        </w:rPr>
        <w:t xml:space="preserve">added to the description acknowledging the </w:t>
      </w:r>
      <w:r w:rsidR="00C56922" w:rsidRPr="001F19ED">
        <w:rPr>
          <w:szCs w:val="20"/>
        </w:rPr>
        <w:t>transition.</w:t>
      </w:r>
    </w:p>
    <w:p w14:paraId="4228CF11" w14:textId="77777777" w:rsidR="00DB1E6A" w:rsidRPr="001F19ED" w:rsidRDefault="00DB1E6A" w:rsidP="001F19ED">
      <w:pPr>
        <w:rPr>
          <w:b/>
          <w:szCs w:val="20"/>
        </w:rPr>
      </w:pPr>
      <w:r w:rsidRPr="001F19ED">
        <w:rPr>
          <w:b/>
          <w:szCs w:val="20"/>
        </w:rPr>
        <w:t>Completing the Transition</w:t>
      </w:r>
    </w:p>
    <w:p w14:paraId="329C859C" w14:textId="77777777" w:rsidR="008B394A" w:rsidRPr="001F19ED" w:rsidRDefault="007B4617" w:rsidP="001F19ED">
      <w:pPr>
        <w:rPr>
          <w:szCs w:val="20"/>
        </w:rPr>
      </w:pPr>
      <w:r w:rsidRPr="001F19ED">
        <w:rPr>
          <w:szCs w:val="20"/>
        </w:rPr>
        <w:t xml:space="preserve">With support from NNIP and Urban staff, we hope that NNIP partner organizations in transition will be able to find new </w:t>
      </w:r>
      <w:r w:rsidR="000E14BE">
        <w:rPr>
          <w:szCs w:val="20"/>
        </w:rPr>
        <w:t xml:space="preserve">funding </w:t>
      </w:r>
      <w:r w:rsidRPr="001F19ED">
        <w:rPr>
          <w:szCs w:val="20"/>
        </w:rPr>
        <w:t xml:space="preserve">support or </w:t>
      </w:r>
      <w:r w:rsidR="00F34A0F">
        <w:rPr>
          <w:szCs w:val="20"/>
        </w:rPr>
        <w:t xml:space="preserve">identify </w:t>
      </w:r>
      <w:r w:rsidRPr="001F19ED">
        <w:rPr>
          <w:szCs w:val="20"/>
        </w:rPr>
        <w:t xml:space="preserve">a new institutional home for NNIP functions. </w:t>
      </w:r>
    </w:p>
    <w:p w14:paraId="39BE819F" w14:textId="77777777" w:rsidR="00DB1E6A" w:rsidRPr="001F19ED" w:rsidRDefault="00277166" w:rsidP="001F19ED">
      <w:pPr>
        <w:pStyle w:val="ListParagraph"/>
        <w:numPr>
          <w:ilvl w:val="0"/>
          <w:numId w:val="5"/>
        </w:numPr>
        <w:rPr>
          <w:szCs w:val="20"/>
        </w:rPr>
      </w:pPr>
      <w:r w:rsidRPr="001F19ED">
        <w:rPr>
          <w:szCs w:val="20"/>
        </w:rPr>
        <w:t>If</w:t>
      </w:r>
      <w:r w:rsidR="00DB1E6A" w:rsidRPr="001F19ED">
        <w:rPr>
          <w:szCs w:val="20"/>
        </w:rPr>
        <w:t xml:space="preserve"> the </w:t>
      </w:r>
      <w:r w:rsidR="00326FEE">
        <w:rPr>
          <w:szCs w:val="20"/>
        </w:rPr>
        <w:t xml:space="preserve">local stakeholders transfer the </w:t>
      </w:r>
      <w:r w:rsidR="00DB1E6A" w:rsidRPr="001F19ED">
        <w:rPr>
          <w:szCs w:val="20"/>
        </w:rPr>
        <w:t xml:space="preserve">NNIP functions to another organization, </w:t>
      </w:r>
      <w:r w:rsidR="00C6528A">
        <w:rPr>
          <w:szCs w:val="20"/>
        </w:rPr>
        <w:t xml:space="preserve">we will require </w:t>
      </w:r>
      <w:r w:rsidR="00326FEE">
        <w:rPr>
          <w:szCs w:val="20"/>
        </w:rPr>
        <w:t>the new organization</w:t>
      </w:r>
      <w:r w:rsidR="00C6528A">
        <w:rPr>
          <w:szCs w:val="20"/>
        </w:rPr>
        <w:t xml:space="preserve"> to </w:t>
      </w:r>
      <w:r w:rsidR="00DB1E6A" w:rsidRPr="001F19ED">
        <w:rPr>
          <w:szCs w:val="20"/>
        </w:rPr>
        <w:t xml:space="preserve">go through </w:t>
      </w:r>
      <w:r w:rsidR="00326FEE">
        <w:rPr>
          <w:szCs w:val="20"/>
        </w:rPr>
        <w:t xml:space="preserve">the </w:t>
      </w:r>
      <w:r w:rsidR="009F700B">
        <w:rPr>
          <w:szCs w:val="20"/>
        </w:rPr>
        <w:t>standard formal</w:t>
      </w:r>
      <w:r w:rsidR="00DB1E6A" w:rsidRPr="001F19ED">
        <w:rPr>
          <w:szCs w:val="20"/>
        </w:rPr>
        <w:t xml:space="preserve"> application</w:t>
      </w:r>
      <w:r w:rsidR="00326FEE">
        <w:rPr>
          <w:szCs w:val="20"/>
        </w:rPr>
        <w:t xml:space="preserve"> process</w:t>
      </w:r>
      <w:r w:rsidR="007B4617" w:rsidRPr="001F19ED">
        <w:rPr>
          <w:szCs w:val="20"/>
        </w:rPr>
        <w:t xml:space="preserve"> and respond to an additional set of questions about the transition. </w:t>
      </w:r>
    </w:p>
    <w:p w14:paraId="5C7F8355" w14:textId="77777777" w:rsidR="00DB1E6A" w:rsidRPr="001F19ED" w:rsidRDefault="00DB1E6A" w:rsidP="001F19ED">
      <w:pPr>
        <w:pStyle w:val="ListParagraph"/>
        <w:numPr>
          <w:ilvl w:val="0"/>
          <w:numId w:val="5"/>
        </w:numPr>
        <w:rPr>
          <w:b/>
          <w:szCs w:val="20"/>
        </w:rPr>
      </w:pPr>
      <w:r w:rsidRPr="001F19ED">
        <w:rPr>
          <w:szCs w:val="20"/>
        </w:rPr>
        <w:lastRenderedPageBreak/>
        <w:t xml:space="preserve">If the </w:t>
      </w:r>
      <w:r w:rsidR="00052A8B" w:rsidRPr="001F19ED">
        <w:rPr>
          <w:szCs w:val="20"/>
        </w:rPr>
        <w:t>leadership, staff</w:t>
      </w:r>
      <w:r w:rsidRPr="001F19ED">
        <w:rPr>
          <w:szCs w:val="20"/>
        </w:rPr>
        <w:t xml:space="preserve"> and mission </w:t>
      </w:r>
      <w:r w:rsidR="00052A8B" w:rsidRPr="001F19ED">
        <w:rPr>
          <w:szCs w:val="20"/>
        </w:rPr>
        <w:t>do not change</w:t>
      </w:r>
      <w:r w:rsidRPr="001F19ED">
        <w:rPr>
          <w:szCs w:val="20"/>
        </w:rPr>
        <w:t xml:space="preserve"> and just the organizational </w:t>
      </w:r>
      <w:r w:rsidR="00052A8B" w:rsidRPr="001F19ED">
        <w:rPr>
          <w:szCs w:val="20"/>
        </w:rPr>
        <w:t xml:space="preserve">home changes through a merger </w:t>
      </w:r>
      <w:r w:rsidRPr="001F19ED">
        <w:rPr>
          <w:szCs w:val="20"/>
        </w:rPr>
        <w:t>or wholesale transfer</w:t>
      </w:r>
      <w:r w:rsidR="00052A8B" w:rsidRPr="001F19ED">
        <w:rPr>
          <w:szCs w:val="20"/>
        </w:rPr>
        <w:t xml:space="preserve"> of functions, </w:t>
      </w:r>
      <w:r w:rsidR="00534046">
        <w:rPr>
          <w:szCs w:val="20"/>
        </w:rPr>
        <w:t>NNIP/Urban</w:t>
      </w:r>
      <w:r w:rsidR="00052A8B" w:rsidRPr="001F19ED">
        <w:rPr>
          <w:szCs w:val="20"/>
        </w:rPr>
        <w:t xml:space="preserve"> staff and the Executive Committee can waive the need for the application process.</w:t>
      </w:r>
    </w:p>
    <w:p w14:paraId="4183F265" w14:textId="736C4DB3" w:rsidR="002E5A31" w:rsidRPr="00DD090B" w:rsidRDefault="008B394A" w:rsidP="00DD090B">
      <w:pPr>
        <w:pStyle w:val="ListParagraph"/>
        <w:numPr>
          <w:ilvl w:val="0"/>
          <w:numId w:val="5"/>
        </w:numPr>
        <w:rPr>
          <w:b/>
          <w:szCs w:val="20"/>
        </w:rPr>
      </w:pPr>
      <w:r w:rsidRPr="001F19ED">
        <w:rPr>
          <w:szCs w:val="20"/>
        </w:rPr>
        <w:t xml:space="preserve">If new revenue is raised to support the re-activation of NNIP functions at the existing partner organization and leadership, staff and mission have not changed, no reapplication is </w:t>
      </w:r>
      <w:r w:rsidR="00180698">
        <w:rPr>
          <w:szCs w:val="20"/>
        </w:rPr>
        <w:t>required</w:t>
      </w:r>
      <w:r w:rsidRPr="001F19ED">
        <w:rPr>
          <w:szCs w:val="20"/>
        </w:rPr>
        <w:t xml:space="preserve">. </w:t>
      </w:r>
    </w:p>
    <w:p w14:paraId="7DF6DCF0" w14:textId="77777777" w:rsidR="00DF74F5" w:rsidRPr="00DF74F5" w:rsidRDefault="00DF74F5" w:rsidP="00DF74F5">
      <w:pPr>
        <w:rPr>
          <w:b/>
          <w:szCs w:val="20"/>
        </w:rPr>
      </w:pPr>
      <w:r w:rsidRPr="00DF74F5">
        <w:rPr>
          <w:b/>
          <w:szCs w:val="20"/>
        </w:rPr>
        <w:t xml:space="preserve">Successful Transitions </w:t>
      </w:r>
    </w:p>
    <w:p w14:paraId="0286D1A3" w14:textId="77777777" w:rsidR="006646FF" w:rsidRPr="00DF74F5" w:rsidRDefault="00DF74F5" w:rsidP="00DF74F5">
      <w:pPr>
        <w:rPr>
          <w:szCs w:val="20"/>
        </w:rPr>
      </w:pPr>
      <w:r w:rsidRPr="00DF74F5">
        <w:rPr>
          <w:szCs w:val="20"/>
        </w:rPr>
        <w:t xml:space="preserve">The table below lists the </w:t>
      </w:r>
      <w:r w:rsidR="00C43DC4">
        <w:rPr>
          <w:szCs w:val="20"/>
        </w:rPr>
        <w:t xml:space="preserve">cities where there was a </w:t>
      </w:r>
      <w:r w:rsidRPr="00DF74F5">
        <w:rPr>
          <w:szCs w:val="20"/>
        </w:rPr>
        <w:t>s</w:t>
      </w:r>
      <w:r w:rsidR="00C43DC4">
        <w:rPr>
          <w:szCs w:val="20"/>
        </w:rPr>
        <w:t>uccessful transition of local data intermediary services from one organization to another</w:t>
      </w:r>
      <w:r w:rsidRPr="00DF74F5">
        <w:rPr>
          <w:szCs w:val="20"/>
        </w:rPr>
        <w:t xml:space="preserve">. While not all transitions necessitated the involvement of NNIP/Urban staff, in several cases they played a significant role, including providing strategic advice to partner staff, conducting scans of the local information ecosystem, and traveling to make presentations in those cities on the benefits of NNIP. </w:t>
      </w:r>
    </w:p>
    <w:tbl>
      <w:tblPr>
        <w:tblStyle w:val="TableGrid"/>
        <w:tblW w:w="0" w:type="auto"/>
        <w:tblLook w:val="04A0" w:firstRow="1" w:lastRow="0" w:firstColumn="1" w:lastColumn="0" w:noHBand="0" w:noVBand="1"/>
      </w:tblPr>
      <w:tblGrid>
        <w:gridCol w:w="1795"/>
        <w:gridCol w:w="7555"/>
      </w:tblGrid>
      <w:tr w:rsidR="00DF74F5" w:rsidRPr="001F19ED" w14:paraId="2EC87746" w14:textId="77777777" w:rsidTr="0034608D">
        <w:tc>
          <w:tcPr>
            <w:tcW w:w="1795" w:type="dxa"/>
          </w:tcPr>
          <w:p w14:paraId="092503CE" w14:textId="77777777" w:rsidR="00DF74F5" w:rsidRPr="001F19ED" w:rsidRDefault="00DF74F5" w:rsidP="008D50F1">
            <w:pPr>
              <w:spacing w:line="276" w:lineRule="auto"/>
              <w:rPr>
                <w:b/>
                <w:szCs w:val="20"/>
              </w:rPr>
            </w:pPr>
            <w:r w:rsidRPr="001F19ED">
              <w:rPr>
                <w:b/>
                <w:szCs w:val="20"/>
              </w:rPr>
              <w:t>City</w:t>
            </w:r>
          </w:p>
        </w:tc>
        <w:tc>
          <w:tcPr>
            <w:tcW w:w="7555" w:type="dxa"/>
          </w:tcPr>
          <w:p w14:paraId="6C0FA20B" w14:textId="77777777" w:rsidR="00DF74F5" w:rsidRPr="001F19ED" w:rsidRDefault="00DF74F5" w:rsidP="008D50F1">
            <w:pPr>
              <w:spacing w:line="276" w:lineRule="auto"/>
              <w:rPr>
                <w:b/>
                <w:szCs w:val="20"/>
              </w:rPr>
            </w:pPr>
            <w:r w:rsidRPr="001F19ED">
              <w:rPr>
                <w:b/>
                <w:szCs w:val="20"/>
              </w:rPr>
              <w:t>Outcome</w:t>
            </w:r>
          </w:p>
        </w:tc>
      </w:tr>
      <w:tr w:rsidR="00DF74F5" w:rsidRPr="001F19ED" w14:paraId="053D47E9" w14:textId="77777777" w:rsidTr="0034608D">
        <w:tc>
          <w:tcPr>
            <w:tcW w:w="1795" w:type="dxa"/>
          </w:tcPr>
          <w:p w14:paraId="5B9489BA" w14:textId="77777777" w:rsidR="00DF74F5" w:rsidRPr="001F19ED" w:rsidRDefault="00DF74F5" w:rsidP="008D50F1">
            <w:pPr>
              <w:spacing w:line="276" w:lineRule="auto"/>
              <w:rPr>
                <w:szCs w:val="20"/>
              </w:rPr>
            </w:pPr>
            <w:r w:rsidRPr="001F19ED">
              <w:rPr>
                <w:szCs w:val="20"/>
              </w:rPr>
              <w:t>Atlanta</w:t>
            </w:r>
          </w:p>
        </w:tc>
        <w:tc>
          <w:tcPr>
            <w:tcW w:w="7555" w:type="dxa"/>
          </w:tcPr>
          <w:p w14:paraId="4C982E83" w14:textId="37200F47" w:rsidR="0034608D" w:rsidRPr="001F19ED" w:rsidRDefault="00DF74F5" w:rsidP="008D50F1">
            <w:pPr>
              <w:spacing w:line="276" w:lineRule="auto"/>
              <w:rPr>
                <w:szCs w:val="20"/>
              </w:rPr>
            </w:pPr>
            <w:r w:rsidRPr="001F19ED">
              <w:rPr>
                <w:szCs w:val="20"/>
              </w:rPr>
              <w:t xml:space="preserve">Transferred from </w:t>
            </w:r>
            <w:bookmarkStart w:id="0" w:name="_Hlk492136716"/>
            <w:r w:rsidRPr="001F19ED">
              <w:rPr>
                <w:szCs w:val="20"/>
              </w:rPr>
              <w:t xml:space="preserve">Georgia Tech </w:t>
            </w:r>
            <w:bookmarkEnd w:id="0"/>
            <w:r w:rsidRPr="001F19ED">
              <w:rPr>
                <w:szCs w:val="20"/>
              </w:rPr>
              <w:t xml:space="preserve">to </w:t>
            </w:r>
            <w:proofErr w:type="spellStart"/>
            <w:r w:rsidRPr="001F19ED">
              <w:rPr>
                <w:szCs w:val="20"/>
              </w:rPr>
              <w:t>NeighborhoodNexus</w:t>
            </w:r>
            <w:proofErr w:type="spellEnd"/>
            <w:r w:rsidRPr="001F19ED">
              <w:rPr>
                <w:szCs w:val="20"/>
              </w:rPr>
              <w:t xml:space="preserve">, a consortium of Atlanta Regional Council </w:t>
            </w:r>
            <w:r w:rsidR="00056230">
              <w:rPr>
                <w:szCs w:val="20"/>
              </w:rPr>
              <w:t>with the Community Foundation of Greater Atlanta</w:t>
            </w:r>
          </w:p>
        </w:tc>
      </w:tr>
      <w:tr w:rsidR="00DF74F5" w:rsidRPr="001F19ED" w14:paraId="7F694E33" w14:textId="77777777" w:rsidTr="0034608D">
        <w:tc>
          <w:tcPr>
            <w:tcW w:w="1795" w:type="dxa"/>
          </w:tcPr>
          <w:p w14:paraId="1AFC73D6" w14:textId="77777777" w:rsidR="00DF74F5" w:rsidRPr="001F19ED" w:rsidRDefault="00DF74F5" w:rsidP="008D50F1">
            <w:pPr>
              <w:spacing w:line="276" w:lineRule="auto"/>
              <w:rPr>
                <w:szCs w:val="20"/>
              </w:rPr>
            </w:pPr>
            <w:r w:rsidRPr="001F19ED">
              <w:rPr>
                <w:szCs w:val="20"/>
              </w:rPr>
              <w:t>Baltimore</w:t>
            </w:r>
          </w:p>
        </w:tc>
        <w:tc>
          <w:tcPr>
            <w:tcW w:w="7555" w:type="dxa"/>
          </w:tcPr>
          <w:p w14:paraId="61F4A970" w14:textId="77777777" w:rsidR="00DF74F5" w:rsidRDefault="00DF74F5" w:rsidP="008D50F1">
            <w:pPr>
              <w:spacing w:line="276" w:lineRule="auto"/>
              <w:rPr>
                <w:szCs w:val="20"/>
              </w:rPr>
            </w:pPr>
            <w:r w:rsidRPr="001F19ED">
              <w:rPr>
                <w:szCs w:val="20"/>
              </w:rPr>
              <w:t>Transferred from an informal network to the University of Baltimore</w:t>
            </w:r>
          </w:p>
          <w:p w14:paraId="02151F95" w14:textId="77777777" w:rsidR="0034608D" w:rsidRPr="001F19ED" w:rsidRDefault="0034608D" w:rsidP="008D50F1">
            <w:pPr>
              <w:spacing w:line="276" w:lineRule="auto"/>
              <w:rPr>
                <w:szCs w:val="20"/>
              </w:rPr>
            </w:pPr>
          </w:p>
        </w:tc>
      </w:tr>
      <w:tr w:rsidR="00F23097" w:rsidRPr="001F19ED" w14:paraId="6A150C3C" w14:textId="77777777" w:rsidTr="0034608D">
        <w:tc>
          <w:tcPr>
            <w:tcW w:w="1795" w:type="dxa"/>
          </w:tcPr>
          <w:p w14:paraId="01CB0F47" w14:textId="289873CE" w:rsidR="00F23097" w:rsidRPr="001F19ED" w:rsidRDefault="00F23097" w:rsidP="008D50F1">
            <w:pPr>
              <w:rPr>
                <w:szCs w:val="20"/>
              </w:rPr>
            </w:pPr>
            <w:r>
              <w:rPr>
                <w:szCs w:val="20"/>
              </w:rPr>
              <w:t>Chicago</w:t>
            </w:r>
          </w:p>
        </w:tc>
        <w:tc>
          <w:tcPr>
            <w:tcW w:w="7555" w:type="dxa"/>
          </w:tcPr>
          <w:p w14:paraId="6615B6DC" w14:textId="5E1DC51F" w:rsidR="00F23097" w:rsidRPr="001F19ED" w:rsidRDefault="00F23097" w:rsidP="008D50F1">
            <w:pPr>
              <w:rPr>
                <w:szCs w:val="20"/>
              </w:rPr>
            </w:pPr>
            <w:r>
              <w:rPr>
                <w:szCs w:val="20"/>
              </w:rPr>
              <w:t>Previously at the Metropolitan Chicago Information Center and Chicago Metropolitan Agency for Planning, now at DePaul University’s Institute for Housing Studies</w:t>
            </w:r>
          </w:p>
        </w:tc>
      </w:tr>
      <w:tr w:rsidR="00DF74F5" w:rsidRPr="001F19ED" w14:paraId="160E5C48" w14:textId="77777777" w:rsidTr="0034608D">
        <w:tc>
          <w:tcPr>
            <w:tcW w:w="1795" w:type="dxa"/>
          </w:tcPr>
          <w:p w14:paraId="05E9E7C7" w14:textId="77777777" w:rsidR="00DF74F5" w:rsidRPr="001F19ED" w:rsidRDefault="00DF74F5" w:rsidP="008D50F1">
            <w:pPr>
              <w:spacing w:line="276" w:lineRule="auto"/>
              <w:rPr>
                <w:szCs w:val="20"/>
              </w:rPr>
            </w:pPr>
            <w:r w:rsidRPr="001F19ED">
              <w:rPr>
                <w:szCs w:val="20"/>
              </w:rPr>
              <w:t>Dallas</w:t>
            </w:r>
          </w:p>
        </w:tc>
        <w:tc>
          <w:tcPr>
            <w:tcW w:w="7555" w:type="dxa"/>
          </w:tcPr>
          <w:p w14:paraId="796D8166" w14:textId="77777777" w:rsidR="00DF74F5" w:rsidRDefault="00DF74F5" w:rsidP="008D50F1">
            <w:pPr>
              <w:spacing w:line="276" w:lineRule="auto"/>
              <w:rPr>
                <w:szCs w:val="20"/>
              </w:rPr>
            </w:pPr>
            <w:r w:rsidRPr="001F19ED">
              <w:rPr>
                <w:szCs w:val="20"/>
              </w:rPr>
              <w:t>Transferred from Foundation for Community Empowerment to the Institute for Urban Studies at the University of Texas-Dallas</w:t>
            </w:r>
          </w:p>
          <w:p w14:paraId="790A2A86" w14:textId="77777777" w:rsidR="0034608D" w:rsidRPr="001F19ED" w:rsidRDefault="0034608D" w:rsidP="008D50F1">
            <w:pPr>
              <w:spacing w:line="276" w:lineRule="auto"/>
              <w:rPr>
                <w:szCs w:val="20"/>
              </w:rPr>
            </w:pPr>
          </w:p>
        </w:tc>
      </w:tr>
      <w:tr w:rsidR="00DF74F5" w:rsidRPr="001F19ED" w14:paraId="44C70E0D" w14:textId="77777777" w:rsidTr="0034608D">
        <w:tc>
          <w:tcPr>
            <w:tcW w:w="1795" w:type="dxa"/>
          </w:tcPr>
          <w:p w14:paraId="3FF6E48A" w14:textId="77777777" w:rsidR="00DF74F5" w:rsidRPr="001F19ED" w:rsidRDefault="00DF74F5" w:rsidP="008D50F1">
            <w:pPr>
              <w:spacing w:line="276" w:lineRule="auto"/>
              <w:rPr>
                <w:szCs w:val="20"/>
              </w:rPr>
            </w:pPr>
            <w:r w:rsidRPr="001F19ED">
              <w:rPr>
                <w:szCs w:val="20"/>
              </w:rPr>
              <w:t>Detroit</w:t>
            </w:r>
          </w:p>
        </w:tc>
        <w:tc>
          <w:tcPr>
            <w:tcW w:w="7555" w:type="dxa"/>
          </w:tcPr>
          <w:p w14:paraId="7DAA4650" w14:textId="77777777" w:rsidR="00DF74F5" w:rsidRDefault="00DF74F5" w:rsidP="008D50F1">
            <w:pPr>
              <w:spacing w:line="276" w:lineRule="auto"/>
              <w:rPr>
                <w:szCs w:val="20"/>
              </w:rPr>
            </w:pPr>
            <w:r w:rsidRPr="001F19ED">
              <w:rPr>
                <w:szCs w:val="20"/>
              </w:rPr>
              <w:t>Data Driven Detroit</w:t>
            </w:r>
            <w:r w:rsidR="00056230">
              <w:rPr>
                <w:szCs w:val="20"/>
              </w:rPr>
              <w:t xml:space="preserve"> was initially a nonprofit, then</w:t>
            </w:r>
            <w:r w:rsidRPr="001F19ED">
              <w:rPr>
                <w:szCs w:val="20"/>
              </w:rPr>
              <w:t xml:space="preserve"> became an affiliate of the Michigan Nonprofit Association</w:t>
            </w:r>
            <w:r w:rsidR="00FD6B12">
              <w:rPr>
                <w:szCs w:val="20"/>
              </w:rPr>
              <w:t xml:space="preserve"> and then </w:t>
            </w:r>
            <w:r w:rsidR="00056230">
              <w:rPr>
                <w:szCs w:val="20"/>
              </w:rPr>
              <w:t xml:space="preserve">converted </w:t>
            </w:r>
            <w:r w:rsidR="00FD6B12">
              <w:rPr>
                <w:szCs w:val="20"/>
              </w:rPr>
              <w:t>to a Low-Profit Limited Liability Corporation (L3C)</w:t>
            </w:r>
          </w:p>
          <w:p w14:paraId="08587682" w14:textId="77777777" w:rsidR="0034608D" w:rsidRPr="001F19ED" w:rsidRDefault="0034608D" w:rsidP="008D50F1">
            <w:pPr>
              <w:spacing w:line="276" w:lineRule="auto"/>
              <w:rPr>
                <w:szCs w:val="20"/>
              </w:rPr>
            </w:pPr>
          </w:p>
        </w:tc>
      </w:tr>
      <w:tr w:rsidR="000F5C62" w:rsidRPr="001F19ED" w14:paraId="24C13E4B" w14:textId="77777777" w:rsidTr="0034608D">
        <w:tc>
          <w:tcPr>
            <w:tcW w:w="1795" w:type="dxa"/>
          </w:tcPr>
          <w:p w14:paraId="2372E4BD" w14:textId="77777777" w:rsidR="000F5C62" w:rsidRPr="001F19ED" w:rsidRDefault="000F5C62" w:rsidP="008D50F1">
            <w:pPr>
              <w:rPr>
                <w:szCs w:val="20"/>
              </w:rPr>
            </w:pPr>
            <w:r>
              <w:rPr>
                <w:szCs w:val="20"/>
              </w:rPr>
              <w:t>Los Angeles</w:t>
            </w:r>
          </w:p>
        </w:tc>
        <w:tc>
          <w:tcPr>
            <w:tcW w:w="7555" w:type="dxa"/>
          </w:tcPr>
          <w:p w14:paraId="09BDDC3D" w14:textId="77777777" w:rsidR="000F5C62" w:rsidRDefault="000F5C62" w:rsidP="008D50F1">
            <w:pPr>
              <w:rPr>
                <w:szCs w:val="20"/>
              </w:rPr>
            </w:pPr>
            <w:r>
              <w:rPr>
                <w:szCs w:val="20"/>
              </w:rPr>
              <w:t>Originally at the UCLA Center for Neighborhood Knowledge; now at the USC Price Center for Social Innovation</w:t>
            </w:r>
          </w:p>
          <w:p w14:paraId="53B6BEC4" w14:textId="77777777" w:rsidR="0034608D" w:rsidRPr="001F19ED" w:rsidRDefault="0034608D" w:rsidP="008D50F1">
            <w:pPr>
              <w:rPr>
                <w:szCs w:val="20"/>
              </w:rPr>
            </w:pPr>
          </w:p>
        </w:tc>
      </w:tr>
      <w:tr w:rsidR="005E18F4" w:rsidRPr="001F19ED" w14:paraId="7447F6AB" w14:textId="77777777" w:rsidTr="0034608D">
        <w:tc>
          <w:tcPr>
            <w:tcW w:w="1795" w:type="dxa"/>
          </w:tcPr>
          <w:p w14:paraId="0CA19BBE" w14:textId="0446A2A3" w:rsidR="005E18F4" w:rsidRPr="001F19ED" w:rsidRDefault="005E18F4" w:rsidP="008D50F1">
            <w:pPr>
              <w:rPr>
                <w:szCs w:val="20"/>
              </w:rPr>
            </w:pPr>
            <w:r>
              <w:rPr>
                <w:szCs w:val="20"/>
              </w:rPr>
              <w:t>Memphis</w:t>
            </w:r>
          </w:p>
        </w:tc>
        <w:tc>
          <w:tcPr>
            <w:tcW w:w="7555" w:type="dxa"/>
          </w:tcPr>
          <w:p w14:paraId="2EE07728" w14:textId="3B8425EA" w:rsidR="005E18F4" w:rsidRPr="001F19ED" w:rsidRDefault="005E18F4" w:rsidP="008D50F1">
            <w:pPr>
              <w:rPr>
                <w:szCs w:val="20"/>
              </w:rPr>
            </w:pPr>
            <w:r>
              <w:rPr>
                <w:szCs w:val="20"/>
              </w:rPr>
              <w:t>Originally housed at the University of Memphis; now at an independent nonprofit Innovate Memphis</w:t>
            </w:r>
          </w:p>
        </w:tc>
      </w:tr>
      <w:tr w:rsidR="00DF74F5" w:rsidRPr="001F19ED" w14:paraId="0F0DC9FE" w14:textId="77777777" w:rsidTr="0034608D">
        <w:tc>
          <w:tcPr>
            <w:tcW w:w="1795" w:type="dxa"/>
          </w:tcPr>
          <w:p w14:paraId="247F9BF7" w14:textId="77777777" w:rsidR="00DF74F5" w:rsidRPr="001F19ED" w:rsidRDefault="00DF74F5" w:rsidP="008D50F1">
            <w:pPr>
              <w:spacing w:line="276" w:lineRule="auto"/>
              <w:rPr>
                <w:szCs w:val="20"/>
              </w:rPr>
            </w:pPr>
            <w:r w:rsidRPr="001F19ED">
              <w:rPr>
                <w:szCs w:val="20"/>
              </w:rPr>
              <w:t>Miami</w:t>
            </w:r>
          </w:p>
        </w:tc>
        <w:tc>
          <w:tcPr>
            <w:tcW w:w="7555" w:type="dxa"/>
          </w:tcPr>
          <w:p w14:paraId="4E8F089A" w14:textId="77777777" w:rsidR="00DF74F5" w:rsidRDefault="00DF74F5" w:rsidP="008D50F1">
            <w:pPr>
              <w:spacing w:line="276" w:lineRule="auto"/>
              <w:rPr>
                <w:szCs w:val="20"/>
              </w:rPr>
            </w:pPr>
            <w:r w:rsidRPr="001F19ED">
              <w:rPr>
                <w:szCs w:val="20"/>
              </w:rPr>
              <w:t>Transferred from a government agency to the Children’s Trust</w:t>
            </w:r>
          </w:p>
          <w:p w14:paraId="6049ECC9" w14:textId="77777777" w:rsidR="0034608D" w:rsidRPr="001F19ED" w:rsidRDefault="0034608D" w:rsidP="008D50F1">
            <w:pPr>
              <w:spacing w:line="276" w:lineRule="auto"/>
              <w:rPr>
                <w:szCs w:val="20"/>
              </w:rPr>
            </w:pPr>
          </w:p>
        </w:tc>
      </w:tr>
      <w:tr w:rsidR="00DF74F5" w:rsidRPr="001F19ED" w14:paraId="64F6B883" w14:textId="77777777" w:rsidTr="0034608D">
        <w:tc>
          <w:tcPr>
            <w:tcW w:w="1795" w:type="dxa"/>
          </w:tcPr>
          <w:p w14:paraId="1F0AC920" w14:textId="77777777" w:rsidR="00DF74F5" w:rsidRPr="001F19ED" w:rsidRDefault="00DF74F5" w:rsidP="008D50F1">
            <w:pPr>
              <w:spacing w:line="276" w:lineRule="auto"/>
              <w:rPr>
                <w:szCs w:val="20"/>
              </w:rPr>
            </w:pPr>
            <w:r w:rsidRPr="001F19ED">
              <w:rPr>
                <w:szCs w:val="20"/>
              </w:rPr>
              <w:t>New Orleans</w:t>
            </w:r>
          </w:p>
        </w:tc>
        <w:tc>
          <w:tcPr>
            <w:tcW w:w="7555" w:type="dxa"/>
          </w:tcPr>
          <w:p w14:paraId="7BD29EC6" w14:textId="77777777" w:rsidR="00DF74F5" w:rsidRDefault="00DF74F5" w:rsidP="008D50F1">
            <w:pPr>
              <w:spacing w:line="276" w:lineRule="auto"/>
              <w:rPr>
                <w:szCs w:val="20"/>
              </w:rPr>
            </w:pPr>
            <w:r w:rsidRPr="001F19ED">
              <w:rPr>
                <w:szCs w:val="20"/>
              </w:rPr>
              <w:t>Changed from being a program of the Center for Nonprofit Reso</w:t>
            </w:r>
            <w:r>
              <w:rPr>
                <w:szCs w:val="20"/>
              </w:rPr>
              <w:t>urces to an independent nonprofit</w:t>
            </w:r>
            <w:r w:rsidR="00056230">
              <w:rPr>
                <w:szCs w:val="20"/>
              </w:rPr>
              <w:t>, The Data Center</w:t>
            </w:r>
          </w:p>
          <w:p w14:paraId="5A21FD13" w14:textId="77777777" w:rsidR="0034608D" w:rsidRPr="001F19ED" w:rsidRDefault="0034608D" w:rsidP="008D50F1">
            <w:pPr>
              <w:spacing w:line="276" w:lineRule="auto"/>
              <w:rPr>
                <w:szCs w:val="20"/>
              </w:rPr>
            </w:pPr>
          </w:p>
        </w:tc>
      </w:tr>
      <w:tr w:rsidR="00DF74F5" w:rsidRPr="001F19ED" w14:paraId="5E55F482" w14:textId="77777777" w:rsidTr="0034608D">
        <w:tc>
          <w:tcPr>
            <w:tcW w:w="1795" w:type="dxa"/>
          </w:tcPr>
          <w:p w14:paraId="68116808" w14:textId="77777777" w:rsidR="00DF74F5" w:rsidRPr="001F19ED" w:rsidRDefault="00DF74F5" w:rsidP="008D50F1">
            <w:pPr>
              <w:spacing w:line="276" w:lineRule="auto"/>
              <w:rPr>
                <w:szCs w:val="20"/>
              </w:rPr>
            </w:pPr>
            <w:r w:rsidRPr="001F19ED">
              <w:rPr>
                <w:szCs w:val="20"/>
              </w:rPr>
              <w:t>Milwaukee</w:t>
            </w:r>
          </w:p>
        </w:tc>
        <w:tc>
          <w:tcPr>
            <w:tcW w:w="7555" w:type="dxa"/>
          </w:tcPr>
          <w:p w14:paraId="7ED0F111" w14:textId="65C9668C" w:rsidR="00DF74F5" w:rsidRDefault="005E18F4" w:rsidP="008D50F1">
            <w:pPr>
              <w:spacing w:line="276" w:lineRule="auto"/>
              <w:rPr>
                <w:szCs w:val="20"/>
              </w:rPr>
            </w:pPr>
            <w:r>
              <w:rPr>
                <w:szCs w:val="20"/>
              </w:rPr>
              <w:t xml:space="preserve">Formerly at the </w:t>
            </w:r>
            <w:bookmarkStart w:id="1" w:name="_Hlk492136742"/>
            <w:r w:rsidR="00DF74F5" w:rsidRPr="001F19ED">
              <w:rPr>
                <w:szCs w:val="20"/>
              </w:rPr>
              <w:t xml:space="preserve">Nonprofit Center of Milwaukee </w:t>
            </w:r>
            <w:bookmarkEnd w:id="1"/>
            <w:r>
              <w:rPr>
                <w:szCs w:val="20"/>
              </w:rPr>
              <w:t>and now at the</w:t>
            </w:r>
            <w:r w:rsidR="00056230">
              <w:rPr>
                <w:szCs w:val="20"/>
              </w:rPr>
              <w:t xml:space="preserve"> independent nonprofit called Data You Can Use</w:t>
            </w:r>
            <w:r w:rsidR="006646FF">
              <w:rPr>
                <w:szCs w:val="20"/>
              </w:rPr>
              <w:t>.</w:t>
            </w:r>
          </w:p>
          <w:p w14:paraId="30BD042D" w14:textId="77777777" w:rsidR="0034608D" w:rsidRPr="001F19ED" w:rsidRDefault="0034608D" w:rsidP="008D50F1">
            <w:pPr>
              <w:spacing w:line="276" w:lineRule="auto"/>
              <w:rPr>
                <w:szCs w:val="20"/>
              </w:rPr>
            </w:pPr>
          </w:p>
        </w:tc>
      </w:tr>
      <w:tr w:rsidR="00056230" w:rsidRPr="001F19ED" w14:paraId="32F1B949" w14:textId="77777777" w:rsidTr="0034608D">
        <w:tc>
          <w:tcPr>
            <w:tcW w:w="1795" w:type="dxa"/>
          </w:tcPr>
          <w:p w14:paraId="229207FA" w14:textId="77777777" w:rsidR="00056230" w:rsidRPr="001F19ED" w:rsidRDefault="00056230" w:rsidP="008D50F1">
            <w:pPr>
              <w:rPr>
                <w:szCs w:val="20"/>
              </w:rPr>
            </w:pPr>
            <w:r>
              <w:rPr>
                <w:szCs w:val="20"/>
              </w:rPr>
              <w:t>Philadelphia</w:t>
            </w:r>
          </w:p>
        </w:tc>
        <w:tc>
          <w:tcPr>
            <w:tcW w:w="7555" w:type="dxa"/>
          </w:tcPr>
          <w:p w14:paraId="20BDF877" w14:textId="75BB208A" w:rsidR="0034608D" w:rsidRPr="001F19ED" w:rsidRDefault="00056230" w:rsidP="008D50F1">
            <w:pPr>
              <w:rPr>
                <w:szCs w:val="20"/>
              </w:rPr>
            </w:pPr>
            <w:r>
              <w:rPr>
                <w:szCs w:val="20"/>
              </w:rPr>
              <w:t>Transitioned from the Reinvestment Fund and Temple University to Drexel Universi</w:t>
            </w:r>
            <w:r w:rsidR="00EE32AA">
              <w:rPr>
                <w:szCs w:val="20"/>
              </w:rPr>
              <w:t>ty’s Urban Health Collaborative</w:t>
            </w:r>
          </w:p>
        </w:tc>
      </w:tr>
      <w:tr w:rsidR="00DF74F5" w:rsidRPr="001F19ED" w14:paraId="456889B8" w14:textId="77777777" w:rsidTr="0034608D">
        <w:tc>
          <w:tcPr>
            <w:tcW w:w="1795" w:type="dxa"/>
          </w:tcPr>
          <w:p w14:paraId="7E5DE701" w14:textId="77777777" w:rsidR="00DF74F5" w:rsidRPr="001F19ED" w:rsidRDefault="00DF74F5" w:rsidP="008D50F1">
            <w:pPr>
              <w:spacing w:line="276" w:lineRule="auto"/>
              <w:rPr>
                <w:szCs w:val="20"/>
              </w:rPr>
            </w:pPr>
            <w:r w:rsidRPr="001F19ED">
              <w:rPr>
                <w:szCs w:val="20"/>
              </w:rPr>
              <w:t>Washington, DC</w:t>
            </w:r>
          </w:p>
        </w:tc>
        <w:tc>
          <w:tcPr>
            <w:tcW w:w="7555" w:type="dxa"/>
          </w:tcPr>
          <w:p w14:paraId="7374081F" w14:textId="77777777" w:rsidR="00DF74F5" w:rsidRPr="001F19ED" w:rsidRDefault="00DF74F5" w:rsidP="008D50F1">
            <w:pPr>
              <w:spacing w:line="276" w:lineRule="auto"/>
              <w:rPr>
                <w:szCs w:val="20"/>
              </w:rPr>
            </w:pPr>
            <w:r w:rsidRPr="001F19ED">
              <w:rPr>
                <w:szCs w:val="20"/>
              </w:rPr>
              <w:t xml:space="preserve">Transferred from nonprofit </w:t>
            </w:r>
            <w:bookmarkStart w:id="2" w:name="_Hlk492136688"/>
            <w:r w:rsidRPr="001F19ED">
              <w:rPr>
                <w:szCs w:val="20"/>
              </w:rPr>
              <w:t xml:space="preserve">DC Agenda </w:t>
            </w:r>
            <w:bookmarkEnd w:id="2"/>
            <w:r w:rsidRPr="001F19ED">
              <w:rPr>
                <w:szCs w:val="20"/>
              </w:rPr>
              <w:t>to the Urban Institute</w:t>
            </w:r>
          </w:p>
        </w:tc>
      </w:tr>
    </w:tbl>
    <w:p w14:paraId="5A67ABA5" w14:textId="63F6E88A" w:rsidR="00767A32" w:rsidRDefault="00767A32" w:rsidP="001F19ED">
      <w:pPr>
        <w:rPr>
          <w:b/>
          <w:szCs w:val="20"/>
        </w:rPr>
      </w:pPr>
      <w:r w:rsidRPr="001F19ED">
        <w:rPr>
          <w:b/>
          <w:szCs w:val="20"/>
        </w:rPr>
        <w:lastRenderedPageBreak/>
        <w:t>Transition-</w:t>
      </w:r>
      <w:r w:rsidR="0089653F">
        <w:rPr>
          <w:b/>
          <w:szCs w:val="20"/>
        </w:rPr>
        <w:t>R</w:t>
      </w:r>
      <w:r w:rsidRPr="001F19ED">
        <w:rPr>
          <w:b/>
          <w:szCs w:val="20"/>
        </w:rPr>
        <w:t xml:space="preserve">elated </w:t>
      </w:r>
      <w:r w:rsidR="0089653F">
        <w:rPr>
          <w:b/>
          <w:szCs w:val="20"/>
        </w:rPr>
        <w:t>L</w:t>
      </w:r>
      <w:r w:rsidRPr="001F19ED">
        <w:rPr>
          <w:b/>
          <w:szCs w:val="20"/>
        </w:rPr>
        <w:t>inks</w:t>
      </w:r>
    </w:p>
    <w:p w14:paraId="5630B6AD" w14:textId="77777777" w:rsidR="00A93F41" w:rsidRPr="00A93F41" w:rsidRDefault="00A93F41" w:rsidP="00367948">
      <w:pPr>
        <w:spacing w:after="0"/>
        <w:rPr>
          <w:szCs w:val="20"/>
        </w:rPr>
      </w:pPr>
      <w:r>
        <w:rPr>
          <w:szCs w:val="20"/>
        </w:rPr>
        <w:t xml:space="preserve">An asterisk notes a document restricted to NNIP partners and registered </w:t>
      </w:r>
      <w:r w:rsidR="0039048E">
        <w:rPr>
          <w:szCs w:val="20"/>
        </w:rPr>
        <w:t>users</w:t>
      </w:r>
      <w:r>
        <w:rPr>
          <w:szCs w:val="20"/>
        </w:rPr>
        <w:t>.</w:t>
      </w:r>
    </w:p>
    <w:p w14:paraId="25DCED9B" w14:textId="77777777" w:rsidR="0063210A" w:rsidRPr="0063210A" w:rsidRDefault="00F71FAD" w:rsidP="00367948">
      <w:pPr>
        <w:pStyle w:val="ListParagraph"/>
        <w:numPr>
          <w:ilvl w:val="0"/>
          <w:numId w:val="4"/>
        </w:numPr>
        <w:spacing w:after="0"/>
        <w:contextualSpacing w:val="0"/>
        <w:rPr>
          <w:rStyle w:val="Hyperlink"/>
        </w:rPr>
      </w:pPr>
      <w:hyperlink r:id="rId10" w:history="1">
        <w:r w:rsidR="0063210A" w:rsidRPr="0063210A">
          <w:rPr>
            <w:rStyle w:val="Hyperlink"/>
            <w:szCs w:val="20"/>
          </w:rPr>
          <w:t>NNIP's Guide to Starting a Local</w:t>
        </w:r>
        <w:r w:rsidR="0063210A" w:rsidRPr="0063210A">
          <w:rPr>
            <w:rStyle w:val="Hyperlink"/>
            <w:szCs w:val="20"/>
          </w:rPr>
          <w:t xml:space="preserve"> </w:t>
        </w:r>
        <w:r w:rsidR="0063210A" w:rsidRPr="0063210A">
          <w:rPr>
            <w:rStyle w:val="Hyperlink"/>
            <w:szCs w:val="20"/>
          </w:rPr>
          <w:t>Data Intermediary</w:t>
        </w:r>
      </w:hyperlink>
    </w:p>
    <w:p w14:paraId="27941639" w14:textId="77777777" w:rsidR="0042484A" w:rsidRPr="00E61D0A" w:rsidRDefault="00F71FAD" w:rsidP="00367948">
      <w:pPr>
        <w:pStyle w:val="ListParagraph"/>
        <w:numPr>
          <w:ilvl w:val="0"/>
          <w:numId w:val="4"/>
        </w:numPr>
        <w:spacing w:after="0"/>
        <w:contextualSpacing w:val="0"/>
        <w:rPr>
          <w:szCs w:val="20"/>
        </w:rPr>
      </w:pPr>
      <w:hyperlink r:id="rId11" w:history="1">
        <w:r w:rsidR="0042484A" w:rsidRPr="00E61D0A">
          <w:rPr>
            <w:rStyle w:val="Hyperlink"/>
            <w:szCs w:val="20"/>
          </w:rPr>
          <w:t>Organizational Planning R</w:t>
        </w:r>
        <w:r w:rsidR="0042484A" w:rsidRPr="00E61D0A">
          <w:rPr>
            <w:rStyle w:val="Hyperlink"/>
            <w:szCs w:val="20"/>
          </w:rPr>
          <w:t>esources</w:t>
        </w:r>
      </w:hyperlink>
    </w:p>
    <w:p w14:paraId="7725440C" w14:textId="6CAFA32A" w:rsidR="00767A32" w:rsidRPr="00182A38" w:rsidRDefault="00F71FAD" w:rsidP="00367948">
      <w:pPr>
        <w:pStyle w:val="ListParagraph"/>
        <w:numPr>
          <w:ilvl w:val="0"/>
          <w:numId w:val="4"/>
        </w:numPr>
        <w:spacing w:after="0"/>
        <w:contextualSpacing w:val="0"/>
        <w:rPr>
          <w:szCs w:val="20"/>
        </w:rPr>
      </w:pPr>
      <w:hyperlink r:id="rId12" w:history="1">
        <w:r w:rsidR="00182A38" w:rsidRPr="00E61D0A">
          <w:rPr>
            <w:rStyle w:val="Hyperlink"/>
            <w:szCs w:val="20"/>
          </w:rPr>
          <w:t>Exploring the Future for the Baltimore Neighbor</w:t>
        </w:r>
        <w:r w:rsidR="00182A38" w:rsidRPr="00E61D0A">
          <w:rPr>
            <w:rStyle w:val="Hyperlink"/>
            <w:szCs w:val="20"/>
          </w:rPr>
          <w:t>hood Indicators Alliance</w:t>
        </w:r>
      </w:hyperlink>
      <w:r w:rsidR="00182A38" w:rsidRPr="00182A38">
        <w:rPr>
          <w:szCs w:val="20"/>
        </w:rPr>
        <w:t xml:space="preserve"> </w:t>
      </w:r>
      <w:r w:rsidR="00767A32" w:rsidRPr="00182A38">
        <w:rPr>
          <w:szCs w:val="20"/>
        </w:rPr>
        <w:t>(2005)</w:t>
      </w:r>
      <w:r w:rsidR="00A93F41">
        <w:rPr>
          <w:szCs w:val="20"/>
        </w:rPr>
        <w:t>*</w:t>
      </w:r>
    </w:p>
    <w:p w14:paraId="6C71EF5E" w14:textId="70122D5E" w:rsidR="00767A32" w:rsidRPr="00DD090B" w:rsidRDefault="00F71FAD" w:rsidP="00DD090B">
      <w:pPr>
        <w:pStyle w:val="ListParagraph"/>
        <w:numPr>
          <w:ilvl w:val="0"/>
          <w:numId w:val="4"/>
        </w:numPr>
        <w:spacing w:after="0"/>
        <w:contextualSpacing w:val="0"/>
        <w:rPr>
          <w:szCs w:val="20"/>
        </w:rPr>
      </w:pPr>
      <w:hyperlink r:id="rId13" w:history="1">
        <w:r w:rsidR="009F700B" w:rsidRPr="00E61D0A">
          <w:rPr>
            <w:rStyle w:val="Hyperlink"/>
            <w:szCs w:val="20"/>
          </w:rPr>
          <w:t>An Assessment of the Community Infor</w:t>
        </w:r>
        <w:r w:rsidR="009F700B" w:rsidRPr="00E61D0A">
          <w:rPr>
            <w:rStyle w:val="Hyperlink"/>
            <w:szCs w:val="20"/>
          </w:rPr>
          <w:t>mation Infrastructure in</w:t>
        </w:r>
        <w:r w:rsidR="00703D95" w:rsidRPr="00E61D0A">
          <w:rPr>
            <w:rStyle w:val="Hyperlink"/>
            <w:szCs w:val="20"/>
          </w:rPr>
          <w:t xml:space="preserve"> the Chicago Metropolitan Area</w:t>
        </w:r>
      </w:hyperlink>
      <w:r w:rsidR="00703D95">
        <w:rPr>
          <w:szCs w:val="20"/>
        </w:rPr>
        <w:t xml:space="preserve"> (2013)</w:t>
      </w:r>
    </w:p>
    <w:p w14:paraId="69F8E5C1" w14:textId="23E5CAF7" w:rsidR="0089653F" w:rsidRPr="0089653F" w:rsidRDefault="00F71FAD" w:rsidP="00367948">
      <w:pPr>
        <w:pStyle w:val="ListParagraph"/>
        <w:numPr>
          <w:ilvl w:val="0"/>
          <w:numId w:val="4"/>
        </w:numPr>
        <w:spacing w:after="0"/>
        <w:contextualSpacing w:val="0"/>
        <w:rPr>
          <w:szCs w:val="20"/>
        </w:rPr>
      </w:pPr>
      <w:hyperlink r:id="rId14" w:history="1">
        <w:r w:rsidR="0089653F" w:rsidRPr="00E61D0A">
          <w:rPr>
            <w:rStyle w:val="Hyperlink"/>
            <w:szCs w:val="20"/>
          </w:rPr>
          <w:t>Assessment of Need and Opportunities for Data Intermediary Services in the Hartford Capital Regio</w:t>
        </w:r>
        <w:r w:rsidR="0089653F" w:rsidRPr="00E61D0A">
          <w:rPr>
            <w:rStyle w:val="Hyperlink"/>
            <w:szCs w:val="20"/>
          </w:rPr>
          <w:t>n</w:t>
        </w:r>
      </w:hyperlink>
      <w:r w:rsidR="0089653F" w:rsidRPr="0089653F">
        <w:rPr>
          <w:szCs w:val="20"/>
        </w:rPr>
        <w:t xml:space="preserve"> </w:t>
      </w:r>
      <w:r w:rsidR="00703D95">
        <w:rPr>
          <w:szCs w:val="20"/>
        </w:rPr>
        <w:t>(2014)</w:t>
      </w:r>
    </w:p>
    <w:sectPr w:rsidR="0089653F" w:rsidRPr="0089653F" w:rsidSect="006F0A98">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D253A" w14:textId="77777777" w:rsidR="00F71FAD" w:rsidRDefault="00F71FAD" w:rsidP="001F19ED">
      <w:pPr>
        <w:spacing w:after="0" w:line="240" w:lineRule="auto"/>
      </w:pPr>
      <w:r>
        <w:separator/>
      </w:r>
    </w:p>
  </w:endnote>
  <w:endnote w:type="continuationSeparator" w:id="0">
    <w:p w14:paraId="69BD7F9A" w14:textId="77777777" w:rsidR="00F71FAD" w:rsidRDefault="00F71FAD" w:rsidP="001F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599950"/>
      <w:docPartObj>
        <w:docPartGallery w:val="Page Numbers (Bottom of Page)"/>
        <w:docPartUnique/>
      </w:docPartObj>
    </w:sdtPr>
    <w:sdtEndPr>
      <w:rPr>
        <w:noProof/>
      </w:rPr>
    </w:sdtEndPr>
    <w:sdtContent>
      <w:p w14:paraId="00F60A50" w14:textId="77777777" w:rsidR="008D50F1" w:rsidRDefault="008D50F1">
        <w:pPr>
          <w:pStyle w:val="Footer"/>
          <w:jc w:val="center"/>
        </w:pPr>
        <w:r>
          <w:fldChar w:fldCharType="begin"/>
        </w:r>
        <w:r>
          <w:instrText xml:space="preserve"> PAGE   \* MERGEFORMAT </w:instrText>
        </w:r>
        <w:r>
          <w:fldChar w:fldCharType="separate"/>
        </w:r>
        <w:r w:rsidR="00CC51C0">
          <w:rPr>
            <w:noProof/>
          </w:rPr>
          <w:t>4</w:t>
        </w:r>
        <w:r>
          <w:rPr>
            <w:noProof/>
          </w:rPr>
          <w:fldChar w:fldCharType="end"/>
        </w:r>
      </w:p>
    </w:sdtContent>
  </w:sdt>
  <w:p w14:paraId="79F65190" w14:textId="77777777" w:rsidR="008D50F1" w:rsidRDefault="008D5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83417573"/>
      <w:docPartObj>
        <w:docPartGallery w:val="Page Numbers (Bottom of Page)"/>
        <w:docPartUnique/>
      </w:docPartObj>
    </w:sdtPr>
    <w:sdtEndPr>
      <w:rPr>
        <w:noProof/>
      </w:rPr>
    </w:sdtEndPr>
    <w:sdtContent>
      <w:p w14:paraId="5849EBDA" w14:textId="77777777" w:rsidR="008D50F1" w:rsidRPr="006F0A98" w:rsidRDefault="008D50F1" w:rsidP="006F0A98">
        <w:pPr>
          <w:pStyle w:val="Footer"/>
          <w:jc w:val="center"/>
          <w:rPr>
            <w:sz w:val="18"/>
            <w:szCs w:val="18"/>
          </w:rPr>
        </w:pPr>
        <w:r w:rsidRPr="001F19ED">
          <w:rPr>
            <w:sz w:val="18"/>
            <w:szCs w:val="18"/>
          </w:rPr>
          <w:fldChar w:fldCharType="begin"/>
        </w:r>
        <w:r w:rsidRPr="001F19ED">
          <w:rPr>
            <w:sz w:val="18"/>
            <w:szCs w:val="18"/>
          </w:rPr>
          <w:instrText xml:space="preserve"> PAGE   \* MERGEFORMAT </w:instrText>
        </w:r>
        <w:r w:rsidRPr="001F19ED">
          <w:rPr>
            <w:sz w:val="18"/>
            <w:szCs w:val="18"/>
          </w:rPr>
          <w:fldChar w:fldCharType="separate"/>
        </w:r>
        <w:r w:rsidR="00840CD7">
          <w:rPr>
            <w:noProof/>
            <w:sz w:val="18"/>
            <w:szCs w:val="18"/>
          </w:rPr>
          <w:t>1</w:t>
        </w:r>
        <w:r w:rsidRPr="001F19E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FAA46" w14:textId="77777777" w:rsidR="00F71FAD" w:rsidRDefault="00F71FAD" w:rsidP="001F19ED">
      <w:pPr>
        <w:spacing w:after="0" w:line="240" w:lineRule="auto"/>
      </w:pPr>
      <w:r>
        <w:separator/>
      </w:r>
    </w:p>
  </w:footnote>
  <w:footnote w:type="continuationSeparator" w:id="0">
    <w:p w14:paraId="36DE673D" w14:textId="77777777" w:rsidR="00F71FAD" w:rsidRDefault="00F71FAD" w:rsidP="001F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DE843" w14:textId="77777777" w:rsidR="008D50F1" w:rsidRDefault="008D50F1" w:rsidP="004F5D7D">
    <w:pPr>
      <w:pStyle w:val="Header"/>
      <w:tabs>
        <w:tab w:val="left" w:pos="6319"/>
      </w:tabs>
      <w:rPr>
        <w:b/>
      </w:rPr>
    </w:pPr>
    <w:r>
      <w:rPr>
        <w:b/>
        <w:noProof/>
      </w:rPr>
      <w:drawing>
        <wp:anchor distT="0" distB="0" distL="114300" distR="114300" simplePos="0" relativeHeight="251662848" behindDoc="1" locked="0" layoutInCell="1" allowOverlap="1" wp14:anchorId="527F51DA" wp14:editId="7973F3D4">
          <wp:simplePos x="0" y="0"/>
          <wp:positionH relativeFrom="column">
            <wp:posOffset>0</wp:posOffset>
          </wp:positionH>
          <wp:positionV relativeFrom="paragraph">
            <wp:posOffset>0</wp:posOffset>
          </wp:positionV>
          <wp:extent cx="1782445" cy="641350"/>
          <wp:effectExtent l="0" t="0" r="8255" b="6350"/>
          <wp:wrapThrough wrapText="bothSides">
            <wp:wrapPolygon edited="0">
              <wp:start x="0" y="0"/>
              <wp:lineTo x="0" y="21172"/>
              <wp:lineTo x="11543" y="21172"/>
              <wp:lineTo x="19853" y="21172"/>
              <wp:lineTo x="20315" y="13473"/>
              <wp:lineTo x="17314" y="10907"/>
              <wp:lineTo x="21469" y="10265"/>
              <wp:lineTo x="21469" y="0"/>
              <wp:lineTo x="7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IP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445" cy="641350"/>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p>
  <w:p w14:paraId="425D447D" w14:textId="022FB9FB" w:rsidR="008D50F1" w:rsidRPr="001F19ED" w:rsidRDefault="008D50F1" w:rsidP="005E18F4">
    <w:pPr>
      <w:pStyle w:val="Footer"/>
      <w:jc w:val="right"/>
      <w:rPr>
        <w:sz w:val="18"/>
        <w:szCs w:val="18"/>
      </w:rPr>
    </w:pPr>
    <w:r>
      <w:t xml:space="preserve">Revised </w:t>
    </w:r>
    <w:r w:rsidR="005E18F4">
      <w:t>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4DC6"/>
    <w:multiLevelType w:val="hybridMultilevel"/>
    <w:tmpl w:val="B26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449"/>
    <w:multiLevelType w:val="hybridMultilevel"/>
    <w:tmpl w:val="ABF2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331A0"/>
    <w:multiLevelType w:val="hybridMultilevel"/>
    <w:tmpl w:val="EF7A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D42EA"/>
    <w:multiLevelType w:val="hybridMultilevel"/>
    <w:tmpl w:val="BADA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C325C"/>
    <w:multiLevelType w:val="hybridMultilevel"/>
    <w:tmpl w:val="4B80D6E6"/>
    <w:lvl w:ilvl="0" w:tplc="FE68A80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A3D248F"/>
    <w:multiLevelType w:val="hybridMultilevel"/>
    <w:tmpl w:val="71E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F2"/>
    <w:rsid w:val="00014A5E"/>
    <w:rsid w:val="000471CA"/>
    <w:rsid w:val="00052A8B"/>
    <w:rsid w:val="000558F1"/>
    <w:rsid w:val="00056230"/>
    <w:rsid w:val="000671DA"/>
    <w:rsid w:val="00092E9A"/>
    <w:rsid w:val="000A73FC"/>
    <w:rsid w:val="000B3F67"/>
    <w:rsid w:val="000B71E3"/>
    <w:rsid w:val="000E14BE"/>
    <w:rsid w:val="000F152D"/>
    <w:rsid w:val="000F5C62"/>
    <w:rsid w:val="00123711"/>
    <w:rsid w:val="00180698"/>
    <w:rsid w:val="00182A38"/>
    <w:rsid w:val="001B3416"/>
    <w:rsid w:val="001F19ED"/>
    <w:rsid w:val="00211F12"/>
    <w:rsid w:val="00226A27"/>
    <w:rsid w:val="00240CF0"/>
    <w:rsid w:val="00246A0A"/>
    <w:rsid w:val="00267E70"/>
    <w:rsid w:val="00277166"/>
    <w:rsid w:val="002A3C17"/>
    <w:rsid w:val="002B0308"/>
    <w:rsid w:val="002D74D4"/>
    <w:rsid w:val="002E0E1B"/>
    <w:rsid w:val="002E5A31"/>
    <w:rsid w:val="00326FEE"/>
    <w:rsid w:val="0034608D"/>
    <w:rsid w:val="00357322"/>
    <w:rsid w:val="00367948"/>
    <w:rsid w:val="0039048E"/>
    <w:rsid w:val="00395F8D"/>
    <w:rsid w:val="003A3E1E"/>
    <w:rsid w:val="003C51FC"/>
    <w:rsid w:val="003D543C"/>
    <w:rsid w:val="003D5F48"/>
    <w:rsid w:val="003D7D87"/>
    <w:rsid w:val="003E653A"/>
    <w:rsid w:val="00403D1F"/>
    <w:rsid w:val="004210A9"/>
    <w:rsid w:val="0042484A"/>
    <w:rsid w:val="00424CCA"/>
    <w:rsid w:val="00425582"/>
    <w:rsid w:val="0043724F"/>
    <w:rsid w:val="0043795B"/>
    <w:rsid w:val="00450977"/>
    <w:rsid w:val="004517A1"/>
    <w:rsid w:val="00483A91"/>
    <w:rsid w:val="00493949"/>
    <w:rsid w:val="004E425D"/>
    <w:rsid w:val="004F5D7D"/>
    <w:rsid w:val="005262F9"/>
    <w:rsid w:val="005268A8"/>
    <w:rsid w:val="00534046"/>
    <w:rsid w:val="00540A06"/>
    <w:rsid w:val="00574DEC"/>
    <w:rsid w:val="00577D39"/>
    <w:rsid w:val="00581F2A"/>
    <w:rsid w:val="005977C9"/>
    <w:rsid w:val="005A4E9A"/>
    <w:rsid w:val="005A584A"/>
    <w:rsid w:val="005B14A1"/>
    <w:rsid w:val="005B41C1"/>
    <w:rsid w:val="005C2C64"/>
    <w:rsid w:val="005E18F4"/>
    <w:rsid w:val="005F75CD"/>
    <w:rsid w:val="00601231"/>
    <w:rsid w:val="00607B08"/>
    <w:rsid w:val="0063210A"/>
    <w:rsid w:val="006376BE"/>
    <w:rsid w:val="006646FF"/>
    <w:rsid w:val="00696B4C"/>
    <w:rsid w:val="006C1E35"/>
    <w:rsid w:val="006C602D"/>
    <w:rsid w:val="006E329A"/>
    <w:rsid w:val="006F0A98"/>
    <w:rsid w:val="00703D95"/>
    <w:rsid w:val="007078C0"/>
    <w:rsid w:val="00711DFC"/>
    <w:rsid w:val="00720474"/>
    <w:rsid w:val="00737755"/>
    <w:rsid w:val="00764002"/>
    <w:rsid w:val="00767A32"/>
    <w:rsid w:val="007711A6"/>
    <w:rsid w:val="00791CD5"/>
    <w:rsid w:val="007A7F04"/>
    <w:rsid w:val="007B4617"/>
    <w:rsid w:val="007D3F57"/>
    <w:rsid w:val="00814236"/>
    <w:rsid w:val="00823850"/>
    <w:rsid w:val="008238CE"/>
    <w:rsid w:val="00835DB7"/>
    <w:rsid w:val="00840CD7"/>
    <w:rsid w:val="008443BF"/>
    <w:rsid w:val="00853379"/>
    <w:rsid w:val="008564EE"/>
    <w:rsid w:val="008649A7"/>
    <w:rsid w:val="00867B29"/>
    <w:rsid w:val="00885442"/>
    <w:rsid w:val="0089653F"/>
    <w:rsid w:val="008B3159"/>
    <w:rsid w:val="008B394A"/>
    <w:rsid w:val="008C3110"/>
    <w:rsid w:val="008C6DE2"/>
    <w:rsid w:val="008D0463"/>
    <w:rsid w:val="008D50F1"/>
    <w:rsid w:val="008D7EBD"/>
    <w:rsid w:val="008F5344"/>
    <w:rsid w:val="0090145E"/>
    <w:rsid w:val="00904066"/>
    <w:rsid w:val="00904FB1"/>
    <w:rsid w:val="00907F47"/>
    <w:rsid w:val="00910427"/>
    <w:rsid w:val="00923D4C"/>
    <w:rsid w:val="00947F70"/>
    <w:rsid w:val="00955C41"/>
    <w:rsid w:val="0096206D"/>
    <w:rsid w:val="009641FA"/>
    <w:rsid w:val="00964341"/>
    <w:rsid w:val="00964D84"/>
    <w:rsid w:val="00975A9F"/>
    <w:rsid w:val="00977067"/>
    <w:rsid w:val="009A6925"/>
    <w:rsid w:val="009D28B0"/>
    <w:rsid w:val="009E4CF4"/>
    <w:rsid w:val="009F574C"/>
    <w:rsid w:val="009F700B"/>
    <w:rsid w:val="00A108E5"/>
    <w:rsid w:val="00A1551A"/>
    <w:rsid w:val="00A50D70"/>
    <w:rsid w:val="00A54B68"/>
    <w:rsid w:val="00A7014F"/>
    <w:rsid w:val="00A854FC"/>
    <w:rsid w:val="00A86992"/>
    <w:rsid w:val="00A91A00"/>
    <w:rsid w:val="00A93F41"/>
    <w:rsid w:val="00AA3841"/>
    <w:rsid w:val="00AA6DA5"/>
    <w:rsid w:val="00AB3AC4"/>
    <w:rsid w:val="00AE57E2"/>
    <w:rsid w:val="00B01D57"/>
    <w:rsid w:val="00B033F2"/>
    <w:rsid w:val="00B379DC"/>
    <w:rsid w:val="00B70A74"/>
    <w:rsid w:val="00BB4A4F"/>
    <w:rsid w:val="00BC4388"/>
    <w:rsid w:val="00C0284C"/>
    <w:rsid w:val="00C43DC4"/>
    <w:rsid w:val="00C51F6F"/>
    <w:rsid w:val="00C56922"/>
    <w:rsid w:val="00C621E3"/>
    <w:rsid w:val="00C6528A"/>
    <w:rsid w:val="00C717A7"/>
    <w:rsid w:val="00C740F2"/>
    <w:rsid w:val="00C81134"/>
    <w:rsid w:val="00CA2A62"/>
    <w:rsid w:val="00CC51C0"/>
    <w:rsid w:val="00CD4ACB"/>
    <w:rsid w:val="00CF02EE"/>
    <w:rsid w:val="00D16205"/>
    <w:rsid w:val="00D61E73"/>
    <w:rsid w:val="00D74720"/>
    <w:rsid w:val="00D86B85"/>
    <w:rsid w:val="00DB1E6A"/>
    <w:rsid w:val="00DC59D6"/>
    <w:rsid w:val="00DD090B"/>
    <w:rsid w:val="00DF28DC"/>
    <w:rsid w:val="00DF74F5"/>
    <w:rsid w:val="00E00AC4"/>
    <w:rsid w:val="00E20EFA"/>
    <w:rsid w:val="00E61D0A"/>
    <w:rsid w:val="00E64374"/>
    <w:rsid w:val="00E6597E"/>
    <w:rsid w:val="00EB2230"/>
    <w:rsid w:val="00EB5637"/>
    <w:rsid w:val="00ED06FA"/>
    <w:rsid w:val="00EE32AA"/>
    <w:rsid w:val="00F22DE2"/>
    <w:rsid w:val="00F23097"/>
    <w:rsid w:val="00F24886"/>
    <w:rsid w:val="00F34A0F"/>
    <w:rsid w:val="00F5789B"/>
    <w:rsid w:val="00F71FAD"/>
    <w:rsid w:val="00F85D81"/>
    <w:rsid w:val="00FB7F5C"/>
    <w:rsid w:val="00FD6B12"/>
    <w:rsid w:val="00FF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F2877"/>
  <w15:docId w15:val="{0CEB3C24-F2E7-438C-AAFA-79CADAC5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ED"/>
    <w:rPr>
      <w:rFonts w:ascii="Century Gothic" w:hAnsi="Century Gothi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F2"/>
    <w:pPr>
      <w:ind w:left="720"/>
      <w:contextualSpacing/>
    </w:pPr>
  </w:style>
  <w:style w:type="table" w:styleId="TableGrid">
    <w:name w:val="Table Grid"/>
    <w:basedOn w:val="TableNormal"/>
    <w:uiPriority w:val="59"/>
    <w:rsid w:val="004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A62"/>
    <w:rPr>
      <w:color w:val="0000FF" w:themeColor="hyperlink"/>
      <w:u w:val="single"/>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pPr>
      <w:spacing w:line="240" w:lineRule="auto"/>
    </w:pPr>
    <w:rPr>
      <w:szCs w:val="20"/>
    </w:rPr>
  </w:style>
  <w:style w:type="character" w:customStyle="1" w:styleId="CommentTextChar">
    <w:name w:val="Comment Text Char"/>
    <w:basedOn w:val="DefaultParagraphFont"/>
    <w:link w:val="CommentText"/>
    <w:uiPriority w:val="99"/>
    <w:semiHidden/>
    <w:rsid w:val="00B70A74"/>
    <w:rPr>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b/>
      <w:bCs/>
      <w:sz w:val="20"/>
      <w:szCs w:val="20"/>
    </w:rPr>
  </w:style>
  <w:style w:type="paragraph" w:styleId="BalloonText">
    <w:name w:val="Balloon Text"/>
    <w:basedOn w:val="Normal"/>
    <w:link w:val="BalloonTextChar"/>
    <w:uiPriority w:val="99"/>
    <w:semiHidden/>
    <w:unhideWhenUsed/>
    <w:rsid w:val="00B70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hAnsi="Tahoma" w:cs="Tahoma"/>
      <w:sz w:val="16"/>
      <w:szCs w:val="16"/>
    </w:rPr>
  </w:style>
  <w:style w:type="paragraph" w:styleId="Header">
    <w:name w:val="header"/>
    <w:basedOn w:val="Normal"/>
    <w:link w:val="HeaderChar"/>
    <w:uiPriority w:val="99"/>
    <w:unhideWhenUsed/>
    <w:rsid w:val="001F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ED"/>
  </w:style>
  <w:style w:type="paragraph" w:styleId="Footer">
    <w:name w:val="footer"/>
    <w:basedOn w:val="Normal"/>
    <w:link w:val="FooterChar"/>
    <w:uiPriority w:val="99"/>
    <w:unhideWhenUsed/>
    <w:rsid w:val="001F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ED"/>
  </w:style>
  <w:style w:type="character" w:styleId="FollowedHyperlink">
    <w:name w:val="FollowedHyperlink"/>
    <w:basedOn w:val="DefaultParagraphFont"/>
    <w:uiPriority w:val="99"/>
    <w:semiHidden/>
    <w:unhideWhenUsed/>
    <w:rsid w:val="00703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ghborhoodindicators.org/partners/become-partner" TargetMode="External"/><Relationship Id="rId13" Type="http://schemas.openxmlformats.org/officeDocument/2006/relationships/hyperlink" Target="http://www.neighborhoodindicators.org/library/catalog/assessment-community-information-infrastructure-chicago-metropolitan-are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ighborhoodindicators.org/about-nnip/about-network" TargetMode="External"/><Relationship Id="rId12" Type="http://schemas.openxmlformats.org/officeDocument/2006/relationships/hyperlink" Target="http://www.neighborhoodindicators.org/library/catalog/exploring-future-baltimore-neighborhood-indicators-allian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ighborhoodindicators.org/nnip-partners-and-organizational-plann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ban.org/research/publication/nnips-guide-starting-local-data-intermedi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ighborhoodindicators.org/nnip-alumni-network-procedures" TargetMode="External"/><Relationship Id="rId14" Type="http://schemas.openxmlformats.org/officeDocument/2006/relationships/hyperlink" Target="http://www.neighborhoodindicators.org/library/catalog/assessment-need-and-opportunities-data-intermediary-services-hartford-cap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Kathryn</dc:creator>
  <cp:lastModifiedBy>Kathy Pettit</cp:lastModifiedBy>
  <cp:revision>5</cp:revision>
  <cp:lastPrinted>2015-06-19T15:35:00Z</cp:lastPrinted>
  <dcterms:created xsi:type="dcterms:W3CDTF">2017-09-02T21:34:00Z</dcterms:created>
  <dcterms:modified xsi:type="dcterms:W3CDTF">2021-02-12T18:50:00Z</dcterms:modified>
</cp:coreProperties>
</file>