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Session III: Friday, September 15th 10:15 - 11:15am</w:t>
      </w:r>
    </w:p>
    <w:p w:rsidR="00000000" w:rsidDel="00000000" w:rsidP="00000000" w:rsidRDefault="00000000" w:rsidRPr="00000000">
      <w:pPr>
        <w:contextualSpacing w:val="0"/>
      </w:pPr>
      <w:r w:rsidDel="00000000" w:rsidR="00000000" w:rsidRPr="00000000">
        <w:rPr>
          <w:rtl w:val="0"/>
        </w:rPr>
        <w:t xml:space="preserve">Location: Lobby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Session Title: Ecosystems framework</w:t>
      </w:r>
    </w:p>
    <w:p w:rsidR="00000000" w:rsidDel="00000000" w:rsidP="00000000" w:rsidRDefault="00000000" w:rsidRPr="00000000">
      <w:pPr>
        <w:contextualSpacing w:val="0"/>
      </w:pPr>
      <w:r w:rsidDel="00000000" w:rsidR="00000000" w:rsidRPr="00000000">
        <w:rPr>
          <w:rtl w:val="0"/>
        </w:rPr>
        <w:t xml:space="preserve">Organizer: Katya/Elizabeth</w:t>
      </w:r>
    </w:p>
    <w:p w:rsidR="00000000" w:rsidDel="00000000" w:rsidP="00000000" w:rsidRDefault="00000000" w:rsidRPr="00000000">
      <w:pPr>
        <w:contextualSpacing w:val="0"/>
      </w:pPr>
      <w:r w:rsidDel="00000000" w:rsidR="00000000" w:rsidRPr="00000000">
        <w:rPr>
          <w:rtl w:val="0"/>
        </w:rPr>
        <w:t xml:space="preserve">Primary Notetaker: Katya Abazajian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CfA brigade changes will be toward a membership model</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Randy interested in exploring northern virginia technologists, a little too informal</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Elizabeth, explaining national networks, </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We’re trying to make sure we’re including the users in our development. Want to be informed by the institutional partners that we’re identifying. We started with our three networks and where they sit.  The best way for us to look at an approach is from the three networks.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Christopher: Cities we’ve seen be successful have a strong government partner, local foundational support, and have a strong civic tech community. What got us in trouble is trying to get brigades to do things they’re not structured to do. Boston succeeded at convening, had NDoCH work. Code for Bosotn, for example, had to take a back seat in the building phase.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Laura: Relieved to hear that coding shouldn’t live with Code for America folks. Trying to figure out how to structure a project with code for America that would maybe feed into CI:now data and/or from local government.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Matt: There needs to be a process of growth for the civic tech partner because they have to be at the point where they have backing and are even at the stage of building products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Sheila: Working on helping low income people to work together collaboratively, and the local government/county is acting as the convener. PSU wants to look at 211 to try to identify what the necessary issues are.?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Christopher: If you are missing one of the three branches, the three-legged stool falls apart. If government isn’t involved then the policies won’t change and the project won’t get very far.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Eamon: Have a guy in east lake trying to get city government trying to do open data but they don’t get it at all.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Matt: The only way to get anything done is to work with government, but the government people don’t have developers in the room to have the discussions about how to design products and incorporate user stories.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Laura: One thing we’re struggling with is that theres no such thing as “The City” there’s the department heads, the staff, the mayor’s office, etc. You don’t need to have the city leader’s sitgnature on an MOU to make progress, so we’re trying to come at it from many angles. Don’t want anyone to think they can’t get started or get good stuff without the city sign off.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Elizabeth: I would answer Sheila’s question with a question - on what scale do you want to make the change? It’s not just 10 people dealing with lack of transportation or whatever the issue may be, you want to understand how many people total are affected by the root of the issue. Start out without the local partner there and do teh analysis and then see at what point their attention and will aligns with your findings. We’re looking at how city governments should be harnessing the power of technology and residents to inform policies and programs. “We’re program rich but systems poor.” We see city government not looking at their toolbox. If they’re not informed they go out and get a contract for an app.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Matt: It seems like you have to be able to be in and out. You want to be on the line in and out of city government. You’re probably going to end up competing with government if you t’re trying to build a better transit app.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Christopher : for cities it's easier for champions to say the city needs to be the main customer for city data and then everyone outside is secondary. Chicago has someone who is a data contact on the CDO team that has external person. Also someone from every department is on the committee so even if they change mayors because it's automated it'll be harder to take it apart than maintain it.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Elizabeth : philanthropy can be catalytic. Show what happens when you don't have to use taxpayer dollars to experiment. When you succeed we'll give you the national stage. Accountability means foundations can help cities experiment and then defund what's not working. Example st. Louis, Rise is going to engage everyone they can and prove through community buy in that the city should actually adjust its funding strategy to let this app work.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Matt: if you are starting this community from scratch it's 6 or 7 years up front. To move quicker and make best use of resources, need to be intentional up front and be a full time job. You get burned out. Went to every groups meet ups, made connections.  Three people running and organizing should be minimum.</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Matt: Need diverse groups of people in your stakeholder group to understand and communicate.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Merissa:  community leaders depends on their tech savviness. Determining the value proposition.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Maybe we need to make more clear the value proposition.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Laura: well the concepts are kind of abstract. How do you talk to a family foundation about civic tech data ecosystem, they get lost in the words.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Matt: ask Katie about this. Data intermediary led into civic tech in the explanation.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Lisa: Miami govt has a data portal but doesn't understand the concepts.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Elizabeth: learning partner work is more about identifying interests and “creating the table”. Local government keeps coming up in identifying the resources.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Randy: what's going on in NoVa. Have community meetings,  focus groups, identified indicators, collected data, put them into a giant excel spreadsheet. I was the only person interested in the work in the CfA brigade. Interests were not civic really, just random. Should actually be spending time at nonprofits and local community groups to figure out what they actually need.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Matt: if I could have started over I would start with solution selection and be more strategic in working with people with connections to neighborhoods. Go into product discovery first. If you can do that initial analysis for free, you can start building relationships and get buzz. </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