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B2" w:rsidRPr="00375CB2" w:rsidRDefault="00375CB2" w:rsidP="00375CB2">
      <w:pPr>
        <w:jc w:val="center"/>
        <w:rPr>
          <w:b/>
        </w:rPr>
      </w:pPr>
      <w:r>
        <w:rPr>
          <w:b/>
        </w:rPr>
        <w:t>Comparison</w:t>
      </w:r>
      <w:bookmarkStart w:id="0" w:name="_GoBack"/>
      <w:bookmarkEnd w:id="0"/>
      <w:r>
        <w:rPr>
          <w:b/>
        </w:rPr>
        <w:t xml:space="preserve"> of</w:t>
      </w:r>
      <w:r w:rsidRPr="00C531C6">
        <w:rPr>
          <w:b/>
        </w:rPr>
        <w:t xml:space="preserve"> Living Wage Indices</w:t>
      </w:r>
    </w:p>
    <w:p w:rsidR="00375CB2" w:rsidRPr="00375CB2" w:rsidRDefault="00375CB2" w:rsidP="00375CB2">
      <w:pPr>
        <w:rPr>
          <w:sz w:val="20"/>
          <w:szCs w:val="20"/>
        </w:rPr>
      </w:pPr>
      <w:hyperlink r:id="rId9" w:history="1">
        <w:r w:rsidRPr="00375CB2">
          <w:rPr>
            <w:rStyle w:val="Hyperlink"/>
            <w:b/>
            <w:sz w:val="20"/>
            <w:szCs w:val="20"/>
          </w:rPr>
          <w:t>The Self-Sufficiency Standard:</w:t>
        </w:r>
      </w:hyperlink>
      <w:r w:rsidRPr="00375CB2">
        <w:rPr>
          <w:b/>
          <w:sz w:val="20"/>
          <w:szCs w:val="20"/>
        </w:rPr>
        <w:t xml:space="preserve"> </w:t>
      </w:r>
      <w:r w:rsidRPr="00375CB2">
        <w:rPr>
          <w:sz w:val="20"/>
          <w:szCs w:val="20"/>
        </w:rPr>
        <w:t xml:space="preserve"> “This measure describes how much income families of various sizes and composition need to make ends meet without public or private assistance</w:t>
      </w:r>
      <w:r w:rsidRPr="00375CB2">
        <w:rPr>
          <w:sz w:val="20"/>
          <w:szCs w:val="20"/>
        </w:rPr>
        <w:t>….</w:t>
      </w:r>
      <w:r w:rsidRPr="00375CB2">
        <w:rPr>
          <w:sz w:val="20"/>
          <w:szCs w:val="20"/>
        </w:rPr>
        <w:t>The Self-Sufficiency Standard is a measure of income adequacy that is based on the costs of basic needs for working families: housing, child care, food, health care, transportation, and miscellaneous items, as well as the cost of taxes and the impact of tax credits. In addition, this report provides for each family type, in each place, the amount of emergency savings required to meet needs during a period of unemployment or other emergency.”</w:t>
      </w:r>
    </w:p>
    <w:p w:rsidR="00375CB2" w:rsidRPr="00375CB2" w:rsidRDefault="00375CB2" w:rsidP="00375CB2">
      <w:pPr>
        <w:rPr>
          <w:sz w:val="20"/>
          <w:szCs w:val="20"/>
        </w:rPr>
      </w:pPr>
      <w:hyperlink r:id="rId10" w:history="1">
        <w:r w:rsidRPr="00375CB2">
          <w:rPr>
            <w:rStyle w:val="Hyperlink"/>
            <w:b/>
            <w:sz w:val="20"/>
            <w:szCs w:val="20"/>
          </w:rPr>
          <w:t>MIT’s Living Wage Calculator:</w:t>
        </w:r>
      </w:hyperlink>
      <w:r w:rsidRPr="00375CB2">
        <w:rPr>
          <w:sz w:val="20"/>
          <w:szCs w:val="20"/>
        </w:rPr>
        <w:t xml:space="preserve">  “The living wage model is a ‘step up’ from poverty as measured by the poverty thresholds but it is a small ‘step up’, one that accounts for only the basic needs of a family. The living wage model does not allow for what many consider the basic necessities enjoyed by many Americans….it does not provide a financial means for planning for the future through savings and investment or for the purchase of capital assets. The living wage is the </w:t>
      </w:r>
      <w:r w:rsidRPr="00375CB2">
        <w:rPr>
          <w:i/>
          <w:sz w:val="20"/>
          <w:szCs w:val="20"/>
        </w:rPr>
        <w:t xml:space="preserve">minimum </w:t>
      </w:r>
      <w:r w:rsidRPr="00375CB2">
        <w:rPr>
          <w:sz w:val="20"/>
          <w:szCs w:val="20"/>
        </w:rPr>
        <w:t>income standard that, if met, draws a very fine line between the financial independence of the working poor and the need to seek out public assistance or suffer consistent and severe housing and food insecurity. In light of this fact, the living wage is perhaps better defined as a minimum subsistence wage for persons living in the United States.”</w:t>
      </w:r>
    </w:p>
    <w:p w:rsidR="00375CB2" w:rsidRPr="00375CB2" w:rsidRDefault="00375CB2" w:rsidP="00375CB2">
      <w:pPr>
        <w:rPr>
          <w:sz w:val="20"/>
          <w:szCs w:val="20"/>
        </w:rPr>
      </w:pPr>
      <w:hyperlink r:id="rId11" w:history="1">
        <w:r w:rsidRPr="00375CB2">
          <w:rPr>
            <w:rStyle w:val="Hyperlink"/>
            <w:b/>
            <w:sz w:val="20"/>
            <w:szCs w:val="20"/>
          </w:rPr>
          <w:t>Alliance for a Just Society:</w:t>
        </w:r>
        <w:r w:rsidRPr="00375CB2">
          <w:rPr>
            <w:rStyle w:val="Hyperlink"/>
            <w:sz w:val="20"/>
            <w:szCs w:val="20"/>
          </w:rPr>
          <w:t xml:space="preserve"> </w:t>
        </w:r>
      </w:hyperlink>
      <w:r w:rsidRPr="00375CB2">
        <w:rPr>
          <w:sz w:val="20"/>
          <w:szCs w:val="20"/>
        </w:rPr>
        <w:t xml:space="preserve"> “A living wage is the amount a full-time worker needs to be paid to make ends meet, including having the ability to set money aside for savings and emergencies.”</w:t>
      </w:r>
    </w:p>
    <w:p w:rsidR="00375CB2" w:rsidRDefault="00375CB2" w:rsidP="00375CB2">
      <w:pPr>
        <w:spacing w:after="0" w:line="240" w:lineRule="auto"/>
      </w:pPr>
      <w:r>
        <w:t>Living Wage Calculations for King County:  different sources</w:t>
      </w:r>
    </w:p>
    <w:p w:rsidR="00375CB2" w:rsidRDefault="00375CB2" w:rsidP="00375CB2">
      <w:pPr>
        <w:spacing w:after="0" w:line="240" w:lineRule="auto"/>
      </w:pPr>
      <w:r>
        <w:t xml:space="preserve">2 Adults + </w:t>
      </w:r>
      <w:r>
        <w:t xml:space="preserve">1 </w:t>
      </w:r>
      <w:r>
        <w:t xml:space="preserve">preschooler and </w:t>
      </w:r>
      <w:r>
        <w:t xml:space="preserve">1 </w:t>
      </w:r>
      <w:r>
        <w:t>school-age child</w:t>
      </w:r>
    </w:p>
    <w:tbl>
      <w:tblPr>
        <w:tblStyle w:val="TableGrid"/>
        <w:tblW w:w="0" w:type="auto"/>
        <w:tblLook w:val="04A0" w:firstRow="1" w:lastRow="0" w:firstColumn="1" w:lastColumn="0" w:noHBand="0" w:noVBand="1"/>
      </w:tblPr>
      <w:tblGrid>
        <w:gridCol w:w="2718"/>
        <w:gridCol w:w="1350"/>
        <w:gridCol w:w="1350"/>
        <w:gridCol w:w="1440"/>
        <w:gridCol w:w="1350"/>
        <w:gridCol w:w="1368"/>
      </w:tblGrid>
      <w:tr w:rsidR="00375CB2" w:rsidTr="00E3163E">
        <w:tc>
          <w:tcPr>
            <w:tcW w:w="2718" w:type="dxa"/>
          </w:tcPr>
          <w:p w:rsidR="00375CB2" w:rsidRDefault="00375CB2" w:rsidP="00E3163E"/>
        </w:tc>
        <w:tc>
          <w:tcPr>
            <w:tcW w:w="1350" w:type="dxa"/>
          </w:tcPr>
          <w:p w:rsidR="00375CB2" w:rsidRPr="001739BD" w:rsidRDefault="00375CB2" w:rsidP="00E3163E">
            <w:pPr>
              <w:jc w:val="center"/>
              <w:rPr>
                <w:b/>
              </w:rPr>
            </w:pPr>
            <w:r w:rsidRPr="001739BD">
              <w:rPr>
                <w:b/>
              </w:rPr>
              <w:t>King</w:t>
            </w:r>
          </w:p>
        </w:tc>
        <w:tc>
          <w:tcPr>
            <w:tcW w:w="1350" w:type="dxa"/>
          </w:tcPr>
          <w:p w:rsidR="00375CB2" w:rsidRPr="001739BD" w:rsidRDefault="00375CB2" w:rsidP="00E3163E">
            <w:pPr>
              <w:jc w:val="center"/>
              <w:rPr>
                <w:b/>
              </w:rPr>
            </w:pPr>
            <w:r w:rsidRPr="001739BD">
              <w:rPr>
                <w:b/>
              </w:rPr>
              <w:t>Seattle</w:t>
            </w:r>
          </w:p>
        </w:tc>
        <w:tc>
          <w:tcPr>
            <w:tcW w:w="1440" w:type="dxa"/>
          </w:tcPr>
          <w:p w:rsidR="00375CB2" w:rsidRPr="001739BD" w:rsidRDefault="00375CB2" w:rsidP="00E3163E">
            <w:pPr>
              <w:jc w:val="center"/>
              <w:rPr>
                <w:b/>
              </w:rPr>
            </w:pPr>
            <w:r w:rsidRPr="001739BD">
              <w:rPr>
                <w:b/>
              </w:rPr>
              <w:t>East KC</w:t>
            </w:r>
          </w:p>
        </w:tc>
        <w:tc>
          <w:tcPr>
            <w:tcW w:w="1350" w:type="dxa"/>
          </w:tcPr>
          <w:p w:rsidR="00375CB2" w:rsidRPr="001739BD" w:rsidRDefault="00375CB2" w:rsidP="00E3163E">
            <w:pPr>
              <w:jc w:val="center"/>
              <w:rPr>
                <w:b/>
              </w:rPr>
            </w:pPr>
            <w:r w:rsidRPr="001739BD">
              <w:rPr>
                <w:b/>
              </w:rPr>
              <w:t>North KC</w:t>
            </w:r>
          </w:p>
        </w:tc>
        <w:tc>
          <w:tcPr>
            <w:tcW w:w="1368" w:type="dxa"/>
          </w:tcPr>
          <w:p w:rsidR="00375CB2" w:rsidRPr="001739BD" w:rsidRDefault="00375CB2" w:rsidP="00E3163E">
            <w:pPr>
              <w:jc w:val="center"/>
              <w:rPr>
                <w:b/>
              </w:rPr>
            </w:pPr>
            <w:r w:rsidRPr="001739BD">
              <w:rPr>
                <w:b/>
              </w:rPr>
              <w:t>South</w:t>
            </w:r>
          </w:p>
        </w:tc>
      </w:tr>
      <w:tr w:rsidR="00375CB2" w:rsidTr="00E3163E">
        <w:tc>
          <w:tcPr>
            <w:tcW w:w="2718" w:type="dxa"/>
          </w:tcPr>
          <w:p w:rsidR="00375CB2" w:rsidRDefault="00375CB2" w:rsidP="00E3163E">
            <w:hyperlink r:id="rId12" w:history="1">
              <w:r w:rsidRPr="007603D2">
                <w:rPr>
                  <w:rStyle w:val="Hyperlink"/>
                </w:rPr>
                <w:t>Self-</w:t>
              </w:r>
              <w:proofErr w:type="spellStart"/>
              <w:r w:rsidRPr="007603D2">
                <w:rPr>
                  <w:rStyle w:val="Hyperlink"/>
                </w:rPr>
                <w:t>Suff</w:t>
              </w:r>
              <w:proofErr w:type="spellEnd"/>
              <w:r w:rsidRPr="007603D2">
                <w:rPr>
                  <w:rStyle w:val="Hyperlink"/>
                </w:rPr>
                <w:t xml:space="preserve"> Standard</w:t>
              </w:r>
            </w:hyperlink>
            <w:r>
              <w:t xml:space="preserve"> - 2014</w:t>
            </w:r>
          </w:p>
        </w:tc>
        <w:tc>
          <w:tcPr>
            <w:tcW w:w="1350" w:type="dxa"/>
          </w:tcPr>
          <w:p w:rsidR="00375CB2" w:rsidRDefault="00375CB2" w:rsidP="00E3163E">
            <w:pPr>
              <w:jc w:val="right"/>
            </w:pPr>
            <w:r>
              <w:t>$73,628</w:t>
            </w:r>
          </w:p>
        </w:tc>
        <w:tc>
          <w:tcPr>
            <w:tcW w:w="1350" w:type="dxa"/>
          </w:tcPr>
          <w:p w:rsidR="00375CB2" w:rsidRDefault="00375CB2" w:rsidP="00E3163E">
            <w:pPr>
              <w:jc w:val="right"/>
            </w:pPr>
            <w:r>
              <w:t>$69,704</w:t>
            </w:r>
          </w:p>
        </w:tc>
        <w:tc>
          <w:tcPr>
            <w:tcW w:w="1440" w:type="dxa"/>
          </w:tcPr>
          <w:p w:rsidR="00375CB2" w:rsidRDefault="00375CB2" w:rsidP="00E3163E">
            <w:pPr>
              <w:jc w:val="right"/>
            </w:pPr>
            <w:r>
              <w:t>$79,411</w:t>
            </w:r>
          </w:p>
        </w:tc>
        <w:tc>
          <w:tcPr>
            <w:tcW w:w="1350" w:type="dxa"/>
          </w:tcPr>
          <w:p w:rsidR="00375CB2" w:rsidRDefault="00375CB2" w:rsidP="00E3163E">
            <w:pPr>
              <w:jc w:val="right"/>
            </w:pPr>
            <w:r>
              <w:t>$75,391</w:t>
            </w:r>
          </w:p>
        </w:tc>
        <w:tc>
          <w:tcPr>
            <w:tcW w:w="1368" w:type="dxa"/>
          </w:tcPr>
          <w:p w:rsidR="00375CB2" w:rsidRDefault="00375CB2" w:rsidP="00E3163E">
            <w:pPr>
              <w:jc w:val="right"/>
            </w:pPr>
            <w:r>
              <w:t>$70,007</w:t>
            </w:r>
          </w:p>
        </w:tc>
      </w:tr>
      <w:tr w:rsidR="00375CB2" w:rsidTr="00E3163E">
        <w:tc>
          <w:tcPr>
            <w:tcW w:w="2718" w:type="dxa"/>
          </w:tcPr>
          <w:p w:rsidR="00375CB2" w:rsidRDefault="00375CB2" w:rsidP="00E3163E">
            <w:hyperlink r:id="rId13" w:history="1">
              <w:r w:rsidRPr="000F46A2">
                <w:rPr>
                  <w:rStyle w:val="Hyperlink"/>
                </w:rPr>
                <w:t xml:space="preserve">MIT </w:t>
              </w:r>
              <w:proofErr w:type="spellStart"/>
              <w:r w:rsidRPr="000F46A2">
                <w:rPr>
                  <w:rStyle w:val="Hyperlink"/>
                </w:rPr>
                <w:t>LvgWg</w:t>
              </w:r>
              <w:proofErr w:type="spellEnd"/>
              <w:r w:rsidRPr="000F46A2">
                <w:rPr>
                  <w:rStyle w:val="Hyperlink"/>
                </w:rPr>
                <w:t xml:space="preserve"> (1wrk)</w:t>
              </w:r>
            </w:hyperlink>
            <w:r>
              <w:t>-2015</w:t>
            </w:r>
          </w:p>
        </w:tc>
        <w:tc>
          <w:tcPr>
            <w:tcW w:w="1350" w:type="dxa"/>
          </w:tcPr>
          <w:p w:rsidR="00375CB2" w:rsidRDefault="00375CB2" w:rsidP="00E3163E">
            <w:pPr>
              <w:jc w:val="right"/>
            </w:pPr>
            <w:r>
              <w:t>$51,730</w:t>
            </w:r>
          </w:p>
        </w:tc>
        <w:tc>
          <w:tcPr>
            <w:tcW w:w="1350" w:type="dxa"/>
          </w:tcPr>
          <w:p w:rsidR="00375CB2" w:rsidRDefault="00375CB2" w:rsidP="00E3163E">
            <w:pPr>
              <w:jc w:val="right"/>
            </w:pPr>
          </w:p>
        </w:tc>
        <w:tc>
          <w:tcPr>
            <w:tcW w:w="1440" w:type="dxa"/>
          </w:tcPr>
          <w:p w:rsidR="00375CB2" w:rsidRDefault="00375CB2" w:rsidP="00E3163E">
            <w:pPr>
              <w:jc w:val="right"/>
            </w:pPr>
          </w:p>
        </w:tc>
        <w:tc>
          <w:tcPr>
            <w:tcW w:w="1350" w:type="dxa"/>
          </w:tcPr>
          <w:p w:rsidR="00375CB2" w:rsidRDefault="00375CB2" w:rsidP="00E3163E">
            <w:pPr>
              <w:jc w:val="right"/>
            </w:pPr>
          </w:p>
        </w:tc>
        <w:tc>
          <w:tcPr>
            <w:tcW w:w="1368" w:type="dxa"/>
          </w:tcPr>
          <w:p w:rsidR="00375CB2" w:rsidRDefault="00375CB2" w:rsidP="00E3163E">
            <w:pPr>
              <w:jc w:val="right"/>
            </w:pPr>
          </w:p>
        </w:tc>
      </w:tr>
      <w:tr w:rsidR="00375CB2" w:rsidTr="00E3163E">
        <w:tc>
          <w:tcPr>
            <w:tcW w:w="2718" w:type="dxa"/>
          </w:tcPr>
          <w:p w:rsidR="00375CB2" w:rsidRDefault="00375CB2" w:rsidP="00E3163E">
            <w:hyperlink r:id="rId14" w:history="1">
              <w:r w:rsidRPr="000F46A2">
                <w:rPr>
                  <w:rStyle w:val="Hyperlink"/>
                </w:rPr>
                <w:t xml:space="preserve">MIT </w:t>
              </w:r>
              <w:proofErr w:type="spellStart"/>
              <w:r w:rsidRPr="000F46A2">
                <w:rPr>
                  <w:rStyle w:val="Hyperlink"/>
                </w:rPr>
                <w:t>LvgWg</w:t>
              </w:r>
              <w:proofErr w:type="spellEnd"/>
              <w:r w:rsidRPr="000F46A2">
                <w:rPr>
                  <w:rStyle w:val="Hyperlink"/>
                </w:rPr>
                <w:t xml:space="preserve"> (2wrk)</w:t>
              </w:r>
            </w:hyperlink>
            <w:r>
              <w:t xml:space="preserve"> 2015</w:t>
            </w:r>
          </w:p>
        </w:tc>
        <w:tc>
          <w:tcPr>
            <w:tcW w:w="1350" w:type="dxa"/>
          </w:tcPr>
          <w:p w:rsidR="00375CB2" w:rsidRDefault="00375CB2" w:rsidP="00E3163E">
            <w:pPr>
              <w:jc w:val="right"/>
            </w:pPr>
            <w:r>
              <w:t>$64,813</w:t>
            </w:r>
          </w:p>
        </w:tc>
        <w:tc>
          <w:tcPr>
            <w:tcW w:w="1350" w:type="dxa"/>
          </w:tcPr>
          <w:p w:rsidR="00375CB2" w:rsidRDefault="00375CB2" w:rsidP="00E3163E">
            <w:pPr>
              <w:jc w:val="right"/>
            </w:pPr>
          </w:p>
        </w:tc>
        <w:tc>
          <w:tcPr>
            <w:tcW w:w="1440" w:type="dxa"/>
          </w:tcPr>
          <w:p w:rsidR="00375CB2" w:rsidRDefault="00375CB2" w:rsidP="00E3163E">
            <w:pPr>
              <w:jc w:val="right"/>
            </w:pPr>
          </w:p>
        </w:tc>
        <w:tc>
          <w:tcPr>
            <w:tcW w:w="1350" w:type="dxa"/>
          </w:tcPr>
          <w:p w:rsidR="00375CB2" w:rsidRDefault="00375CB2" w:rsidP="00E3163E">
            <w:pPr>
              <w:jc w:val="right"/>
            </w:pPr>
          </w:p>
        </w:tc>
        <w:tc>
          <w:tcPr>
            <w:tcW w:w="1368" w:type="dxa"/>
          </w:tcPr>
          <w:p w:rsidR="00375CB2" w:rsidRDefault="00375CB2" w:rsidP="00E3163E">
            <w:pPr>
              <w:jc w:val="right"/>
            </w:pPr>
          </w:p>
        </w:tc>
      </w:tr>
      <w:tr w:rsidR="00375CB2" w:rsidTr="00E3163E">
        <w:tc>
          <w:tcPr>
            <w:tcW w:w="2718" w:type="dxa"/>
          </w:tcPr>
          <w:p w:rsidR="00375CB2" w:rsidRDefault="00375CB2" w:rsidP="00E3163E">
            <w:hyperlink r:id="rId15" w:history="1">
              <w:proofErr w:type="spellStart"/>
              <w:r w:rsidRPr="007603D2">
                <w:rPr>
                  <w:rStyle w:val="Hyperlink"/>
                </w:rPr>
                <w:t>Allc</w:t>
              </w:r>
              <w:proofErr w:type="spellEnd"/>
              <w:r w:rsidRPr="007603D2">
                <w:rPr>
                  <w:rStyle w:val="Hyperlink"/>
                </w:rPr>
                <w:t xml:space="preserve"> for </w:t>
              </w:r>
              <w:proofErr w:type="spellStart"/>
              <w:r w:rsidRPr="007603D2">
                <w:rPr>
                  <w:rStyle w:val="Hyperlink"/>
                </w:rPr>
                <w:t>Jst</w:t>
              </w:r>
              <w:proofErr w:type="spellEnd"/>
              <w:r w:rsidRPr="007603D2">
                <w:rPr>
                  <w:rStyle w:val="Hyperlink"/>
                </w:rPr>
                <w:t xml:space="preserve"> Soc. 2014 (1wrk)</w:t>
              </w:r>
            </w:hyperlink>
          </w:p>
        </w:tc>
        <w:tc>
          <w:tcPr>
            <w:tcW w:w="1350" w:type="dxa"/>
          </w:tcPr>
          <w:p w:rsidR="00375CB2" w:rsidRDefault="00375CB2" w:rsidP="00E3163E">
            <w:pPr>
              <w:jc w:val="right"/>
            </w:pPr>
            <w:r>
              <w:t>$67,027</w:t>
            </w:r>
          </w:p>
        </w:tc>
        <w:tc>
          <w:tcPr>
            <w:tcW w:w="1350" w:type="dxa"/>
          </w:tcPr>
          <w:p w:rsidR="00375CB2" w:rsidRDefault="00375CB2" w:rsidP="00E3163E">
            <w:pPr>
              <w:jc w:val="right"/>
            </w:pPr>
          </w:p>
        </w:tc>
        <w:tc>
          <w:tcPr>
            <w:tcW w:w="1440" w:type="dxa"/>
          </w:tcPr>
          <w:p w:rsidR="00375CB2" w:rsidRDefault="00375CB2" w:rsidP="00E3163E">
            <w:pPr>
              <w:jc w:val="right"/>
            </w:pPr>
          </w:p>
        </w:tc>
        <w:tc>
          <w:tcPr>
            <w:tcW w:w="1350" w:type="dxa"/>
          </w:tcPr>
          <w:p w:rsidR="00375CB2" w:rsidRDefault="00375CB2" w:rsidP="00E3163E">
            <w:pPr>
              <w:jc w:val="right"/>
            </w:pPr>
          </w:p>
        </w:tc>
        <w:tc>
          <w:tcPr>
            <w:tcW w:w="1368" w:type="dxa"/>
          </w:tcPr>
          <w:p w:rsidR="00375CB2" w:rsidRDefault="00375CB2" w:rsidP="00E3163E">
            <w:pPr>
              <w:jc w:val="right"/>
            </w:pPr>
          </w:p>
        </w:tc>
      </w:tr>
      <w:tr w:rsidR="00375CB2" w:rsidTr="00E3163E">
        <w:tc>
          <w:tcPr>
            <w:tcW w:w="2718" w:type="dxa"/>
          </w:tcPr>
          <w:p w:rsidR="00375CB2" w:rsidRDefault="00375CB2" w:rsidP="00E3163E">
            <w:hyperlink r:id="rId16" w:history="1">
              <w:proofErr w:type="spellStart"/>
              <w:r w:rsidRPr="007603D2">
                <w:rPr>
                  <w:rStyle w:val="Hyperlink"/>
                </w:rPr>
                <w:t>Allc</w:t>
              </w:r>
              <w:proofErr w:type="spellEnd"/>
              <w:r w:rsidRPr="007603D2">
                <w:rPr>
                  <w:rStyle w:val="Hyperlink"/>
                </w:rPr>
                <w:t xml:space="preserve"> for </w:t>
              </w:r>
              <w:proofErr w:type="spellStart"/>
              <w:r w:rsidRPr="007603D2">
                <w:rPr>
                  <w:rStyle w:val="Hyperlink"/>
                </w:rPr>
                <w:t>Jst</w:t>
              </w:r>
              <w:proofErr w:type="spellEnd"/>
              <w:r w:rsidRPr="007603D2">
                <w:rPr>
                  <w:rStyle w:val="Hyperlink"/>
                </w:rPr>
                <w:t xml:space="preserve"> Soc. 2014 (2wrk)</w:t>
              </w:r>
            </w:hyperlink>
          </w:p>
        </w:tc>
        <w:tc>
          <w:tcPr>
            <w:tcW w:w="1350" w:type="dxa"/>
          </w:tcPr>
          <w:p w:rsidR="00375CB2" w:rsidRDefault="00375CB2" w:rsidP="00E3163E">
            <w:pPr>
              <w:jc w:val="right"/>
            </w:pPr>
            <w:r>
              <w:t>$94,366</w:t>
            </w:r>
          </w:p>
        </w:tc>
        <w:tc>
          <w:tcPr>
            <w:tcW w:w="1350" w:type="dxa"/>
          </w:tcPr>
          <w:p w:rsidR="00375CB2" w:rsidRDefault="00375CB2" w:rsidP="00E3163E">
            <w:pPr>
              <w:jc w:val="right"/>
            </w:pPr>
          </w:p>
        </w:tc>
        <w:tc>
          <w:tcPr>
            <w:tcW w:w="1440" w:type="dxa"/>
          </w:tcPr>
          <w:p w:rsidR="00375CB2" w:rsidRDefault="00375CB2" w:rsidP="00E3163E">
            <w:pPr>
              <w:jc w:val="right"/>
            </w:pPr>
          </w:p>
        </w:tc>
        <w:tc>
          <w:tcPr>
            <w:tcW w:w="1350" w:type="dxa"/>
          </w:tcPr>
          <w:p w:rsidR="00375CB2" w:rsidRDefault="00375CB2" w:rsidP="00E3163E">
            <w:pPr>
              <w:jc w:val="right"/>
            </w:pPr>
          </w:p>
        </w:tc>
        <w:tc>
          <w:tcPr>
            <w:tcW w:w="1368" w:type="dxa"/>
          </w:tcPr>
          <w:p w:rsidR="00375CB2" w:rsidRDefault="00375CB2" w:rsidP="00E3163E">
            <w:pPr>
              <w:jc w:val="right"/>
            </w:pPr>
          </w:p>
        </w:tc>
      </w:tr>
    </w:tbl>
    <w:p w:rsidR="00375CB2" w:rsidRDefault="00375CB2" w:rsidP="00375CB2"/>
    <w:p w:rsidR="00375CB2" w:rsidRDefault="00375CB2" w:rsidP="00375CB2">
      <w:pPr>
        <w:spacing w:after="0" w:line="240" w:lineRule="auto"/>
      </w:pPr>
      <w:r>
        <w:t>Comparisons of Typical Expenses in King County, WA for 2 adults + 1 preschooler and 1 school-age child</w:t>
      </w:r>
    </w:p>
    <w:p w:rsidR="00375CB2" w:rsidRDefault="00375CB2" w:rsidP="00375CB2">
      <w:pPr>
        <w:spacing w:after="0" w:line="240" w:lineRule="auto"/>
      </w:pPr>
      <w:r>
        <w:t>1wrk = 1 adult working; 2wrk = 2 adults working</w:t>
      </w:r>
    </w:p>
    <w:tbl>
      <w:tblPr>
        <w:tblStyle w:val="TableGrid"/>
        <w:tblW w:w="0" w:type="auto"/>
        <w:tblLook w:val="04A0" w:firstRow="1" w:lastRow="0" w:firstColumn="1" w:lastColumn="0" w:noHBand="0" w:noVBand="1"/>
      </w:tblPr>
      <w:tblGrid>
        <w:gridCol w:w="1728"/>
        <w:gridCol w:w="1620"/>
        <w:gridCol w:w="1440"/>
        <w:gridCol w:w="1596"/>
        <w:gridCol w:w="1596"/>
        <w:gridCol w:w="1596"/>
      </w:tblGrid>
      <w:tr w:rsidR="00375CB2" w:rsidTr="00375CB2">
        <w:tc>
          <w:tcPr>
            <w:tcW w:w="1728" w:type="dxa"/>
          </w:tcPr>
          <w:p w:rsidR="00375CB2" w:rsidRDefault="00375CB2" w:rsidP="00E3163E">
            <w:r>
              <w:t>Monthly Expenses</w:t>
            </w:r>
          </w:p>
        </w:tc>
        <w:tc>
          <w:tcPr>
            <w:tcW w:w="1620" w:type="dxa"/>
          </w:tcPr>
          <w:p w:rsidR="00375CB2" w:rsidRDefault="00375CB2" w:rsidP="00E3163E">
            <w:hyperlink r:id="rId17" w:history="1">
              <w:r w:rsidRPr="007603D2">
                <w:rPr>
                  <w:rStyle w:val="Hyperlink"/>
                </w:rPr>
                <w:t>Self-</w:t>
              </w:r>
              <w:proofErr w:type="spellStart"/>
              <w:r w:rsidRPr="007603D2">
                <w:rPr>
                  <w:rStyle w:val="Hyperlink"/>
                </w:rPr>
                <w:t>Suff</w:t>
              </w:r>
              <w:proofErr w:type="spellEnd"/>
              <w:r w:rsidRPr="007603D2">
                <w:rPr>
                  <w:rStyle w:val="Hyperlink"/>
                </w:rPr>
                <w:t xml:space="preserve"> Standard</w:t>
              </w:r>
            </w:hyperlink>
            <w:r>
              <w:t xml:space="preserve"> – 2014 (</w:t>
            </w:r>
            <w:proofErr w:type="spellStart"/>
            <w:r>
              <w:t>North</w:t>
            </w:r>
            <w:r>
              <w:t>KC</w:t>
            </w:r>
            <w:proofErr w:type="spellEnd"/>
            <w:r>
              <w:t>)</w:t>
            </w:r>
          </w:p>
        </w:tc>
        <w:tc>
          <w:tcPr>
            <w:tcW w:w="1440" w:type="dxa"/>
          </w:tcPr>
          <w:p w:rsidR="00375CB2" w:rsidRDefault="00375CB2" w:rsidP="00E3163E">
            <w:hyperlink r:id="rId18" w:history="1">
              <w:r w:rsidRPr="000F46A2">
                <w:rPr>
                  <w:rStyle w:val="Hyperlink"/>
                </w:rPr>
                <w:t xml:space="preserve">MIT </w:t>
              </w:r>
              <w:proofErr w:type="spellStart"/>
              <w:r w:rsidRPr="000F46A2">
                <w:rPr>
                  <w:rStyle w:val="Hyperlink"/>
                </w:rPr>
                <w:t>LvgWg</w:t>
              </w:r>
              <w:proofErr w:type="spellEnd"/>
              <w:r w:rsidRPr="000F46A2">
                <w:rPr>
                  <w:rStyle w:val="Hyperlink"/>
                </w:rPr>
                <w:t xml:space="preserve"> (1wrk)</w:t>
              </w:r>
            </w:hyperlink>
            <w:r>
              <w:t>-2015</w:t>
            </w:r>
          </w:p>
        </w:tc>
        <w:tc>
          <w:tcPr>
            <w:tcW w:w="1596" w:type="dxa"/>
          </w:tcPr>
          <w:p w:rsidR="00375CB2" w:rsidRDefault="00375CB2" w:rsidP="00E3163E">
            <w:hyperlink r:id="rId19" w:history="1">
              <w:r w:rsidRPr="000F46A2">
                <w:rPr>
                  <w:rStyle w:val="Hyperlink"/>
                </w:rPr>
                <w:t xml:space="preserve">MIT </w:t>
              </w:r>
              <w:proofErr w:type="spellStart"/>
              <w:r w:rsidRPr="000F46A2">
                <w:rPr>
                  <w:rStyle w:val="Hyperlink"/>
                </w:rPr>
                <w:t>LvgWg</w:t>
              </w:r>
              <w:proofErr w:type="spellEnd"/>
              <w:r w:rsidRPr="000F46A2">
                <w:rPr>
                  <w:rStyle w:val="Hyperlink"/>
                </w:rPr>
                <w:t xml:space="preserve"> (2wrk)</w:t>
              </w:r>
            </w:hyperlink>
            <w:r>
              <w:t xml:space="preserve"> 2015</w:t>
            </w:r>
          </w:p>
        </w:tc>
        <w:tc>
          <w:tcPr>
            <w:tcW w:w="1596" w:type="dxa"/>
          </w:tcPr>
          <w:p w:rsidR="00375CB2" w:rsidRDefault="00375CB2" w:rsidP="00E3163E">
            <w:hyperlink r:id="rId20" w:history="1">
              <w:proofErr w:type="spellStart"/>
              <w:r w:rsidRPr="007603D2">
                <w:rPr>
                  <w:rStyle w:val="Hyperlink"/>
                </w:rPr>
                <w:t>Allc</w:t>
              </w:r>
              <w:proofErr w:type="spellEnd"/>
              <w:r w:rsidRPr="007603D2">
                <w:rPr>
                  <w:rStyle w:val="Hyperlink"/>
                </w:rPr>
                <w:t xml:space="preserve"> for </w:t>
              </w:r>
              <w:proofErr w:type="spellStart"/>
              <w:r w:rsidRPr="007603D2">
                <w:rPr>
                  <w:rStyle w:val="Hyperlink"/>
                </w:rPr>
                <w:t>Jst</w:t>
              </w:r>
              <w:proofErr w:type="spellEnd"/>
              <w:r w:rsidRPr="007603D2">
                <w:rPr>
                  <w:rStyle w:val="Hyperlink"/>
                </w:rPr>
                <w:t xml:space="preserve"> Soc. 2014 (1wrk)</w:t>
              </w:r>
            </w:hyperlink>
          </w:p>
        </w:tc>
        <w:tc>
          <w:tcPr>
            <w:tcW w:w="1596" w:type="dxa"/>
          </w:tcPr>
          <w:p w:rsidR="00375CB2" w:rsidRDefault="00375CB2" w:rsidP="00E3163E">
            <w:hyperlink r:id="rId21" w:history="1">
              <w:proofErr w:type="spellStart"/>
              <w:r w:rsidRPr="007603D2">
                <w:rPr>
                  <w:rStyle w:val="Hyperlink"/>
                </w:rPr>
                <w:t>Allc</w:t>
              </w:r>
              <w:proofErr w:type="spellEnd"/>
              <w:r w:rsidRPr="007603D2">
                <w:rPr>
                  <w:rStyle w:val="Hyperlink"/>
                </w:rPr>
                <w:t xml:space="preserve"> for </w:t>
              </w:r>
              <w:proofErr w:type="spellStart"/>
              <w:r w:rsidRPr="007603D2">
                <w:rPr>
                  <w:rStyle w:val="Hyperlink"/>
                </w:rPr>
                <w:t>Jst</w:t>
              </w:r>
              <w:proofErr w:type="spellEnd"/>
              <w:r w:rsidRPr="007603D2">
                <w:rPr>
                  <w:rStyle w:val="Hyperlink"/>
                </w:rPr>
                <w:t xml:space="preserve"> Soc. 2014 (2wrk)</w:t>
              </w:r>
            </w:hyperlink>
          </w:p>
        </w:tc>
      </w:tr>
      <w:tr w:rsidR="00375CB2" w:rsidTr="00375CB2">
        <w:tc>
          <w:tcPr>
            <w:tcW w:w="1728" w:type="dxa"/>
          </w:tcPr>
          <w:p w:rsidR="00375CB2" w:rsidRDefault="00375CB2" w:rsidP="00E3163E">
            <w:r>
              <w:t>Food</w:t>
            </w:r>
          </w:p>
        </w:tc>
        <w:tc>
          <w:tcPr>
            <w:tcW w:w="1620" w:type="dxa"/>
          </w:tcPr>
          <w:p w:rsidR="00375CB2" w:rsidRDefault="00375CB2" w:rsidP="00E3163E">
            <w:pPr>
              <w:jc w:val="right"/>
            </w:pPr>
            <w:r>
              <w:t>$880</w:t>
            </w:r>
          </w:p>
        </w:tc>
        <w:tc>
          <w:tcPr>
            <w:tcW w:w="1440" w:type="dxa"/>
          </w:tcPr>
          <w:p w:rsidR="00375CB2" w:rsidRDefault="00375CB2" w:rsidP="00E3163E">
            <w:pPr>
              <w:jc w:val="right"/>
            </w:pPr>
            <w:r>
              <w:t>$880</w:t>
            </w:r>
          </w:p>
        </w:tc>
        <w:tc>
          <w:tcPr>
            <w:tcW w:w="1596" w:type="dxa"/>
          </w:tcPr>
          <w:p w:rsidR="00375CB2" w:rsidRDefault="00375CB2" w:rsidP="00E3163E">
            <w:pPr>
              <w:jc w:val="right"/>
            </w:pPr>
            <w:r>
              <w:t>$880</w:t>
            </w:r>
          </w:p>
        </w:tc>
        <w:tc>
          <w:tcPr>
            <w:tcW w:w="1596" w:type="dxa"/>
          </w:tcPr>
          <w:p w:rsidR="00375CB2" w:rsidRDefault="00375CB2" w:rsidP="00E3163E">
            <w:pPr>
              <w:jc w:val="right"/>
            </w:pPr>
            <w:r>
              <w:t>$771</w:t>
            </w:r>
          </w:p>
        </w:tc>
        <w:tc>
          <w:tcPr>
            <w:tcW w:w="1596" w:type="dxa"/>
          </w:tcPr>
          <w:p w:rsidR="00375CB2" w:rsidRDefault="00375CB2" w:rsidP="00E3163E">
            <w:pPr>
              <w:jc w:val="right"/>
            </w:pPr>
            <w:r>
              <w:t>$771</w:t>
            </w:r>
          </w:p>
        </w:tc>
      </w:tr>
      <w:tr w:rsidR="00375CB2" w:rsidTr="00375CB2">
        <w:tc>
          <w:tcPr>
            <w:tcW w:w="1728" w:type="dxa"/>
          </w:tcPr>
          <w:p w:rsidR="00375CB2" w:rsidRDefault="00375CB2" w:rsidP="00E3163E">
            <w:r>
              <w:t>Child Care</w:t>
            </w:r>
          </w:p>
        </w:tc>
        <w:tc>
          <w:tcPr>
            <w:tcW w:w="1620" w:type="dxa"/>
          </w:tcPr>
          <w:p w:rsidR="00375CB2" w:rsidRDefault="00375CB2" w:rsidP="00E3163E">
            <w:pPr>
              <w:jc w:val="right"/>
            </w:pPr>
            <w:r>
              <w:t>$1,733</w:t>
            </w:r>
          </w:p>
        </w:tc>
        <w:tc>
          <w:tcPr>
            <w:tcW w:w="1440" w:type="dxa"/>
          </w:tcPr>
          <w:p w:rsidR="00375CB2" w:rsidRDefault="00375CB2" w:rsidP="00E3163E">
            <w:pPr>
              <w:jc w:val="right"/>
            </w:pPr>
            <w:r>
              <w:t>$0</w:t>
            </w:r>
          </w:p>
        </w:tc>
        <w:tc>
          <w:tcPr>
            <w:tcW w:w="1596" w:type="dxa"/>
          </w:tcPr>
          <w:p w:rsidR="00375CB2" w:rsidRDefault="00375CB2" w:rsidP="00E3163E">
            <w:pPr>
              <w:jc w:val="right"/>
            </w:pPr>
            <w:r>
              <w:rPr>
                <w:rFonts w:ascii="Helvetica" w:hAnsi="Helvetica"/>
                <w:color w:val="333333"/>
                <w:sz w:val="21"/>
                <w:szCs w:val="21"/>
                <w:shd w:val="clear" w:color="auto" w:fill="FFFFFF"/>
              </w:rPr>
              <w:t>$964</w:t>
            </w:r>
          </w:p>
        </w:tc>
        <w:tc>
          <w:tcPr>
            <w:tcW w:w="1596" w:type="dxa"/>
          </w:tcPr>
          <w:p w:rsidR="00375CB2" w:rsidRDefault="00375CB2" w:rsidP="00E3163E">
            <w:pPr>
              <w:jc w:val="right"/>
            </w:pPr>
            <w:r>
              <w:t>$0</w:t>
            </w:r>
          </w:p>
        </w:tc>
        <w:tc>
          <w:tcPr>
            <w:tcW w:w="1596" w:type="dxa"/>
          </w:tcPr>
          <w:p w:rsidR="00375CB2" w:rsidRDefault="00375CB2" w:rsidP="00E3163E">
            <w:pPr>
              <w:jc w:val="right"/>
            </w:pPr>
            <w:r>
              <w:t>$1,737</w:t>
            </w:r>
          </w:p>
        </w:tc>
      </w:tr>
      <w:tr w:rsidR="00375CB2" w:rsidTr="00375CB2">
        <w:tc>
          <w:tcPr>
            <w:tcW w:w="1728" w:type="dxa"/>
          </w:tcPr>
          <w:p w:rsidR="00375CB2" w:rsidRDefault="00375CB2" w:rsidP="00E3163E">
            <w:r>
              <w:t>Medical</w:t>
            </w:r>
          </w:p>
        </w:tc>
        <w:tc>
          <w:tcPr>
            <w:tcW w:w="1620" w:type="dxa"/>
          </w:tcPr>
          <w:p w:rsidR="00375CB2" w:rsidRDefault="00375CB2" w:rsidP="00E3163E">
            <w:pPr>
              <w:jc w:val="right"/>
            </w:pPr>
            <w:r>
              <w:t>$469</w:t>
            </w:r>
          </w:p>
        </w:tc>
        <w:tc>
          <w:tcPr>
            <w:tcW w:w="1440" w:type="dxa"/>
          </w:tcPr>
          <w:p w:rsidR="00375CB2" w:rsidRDefault="00375CB2" w:rsidP="00E3163E">
            <w:pPr>
              <w:jc w:val="right"/>
            </w:pPr>
            <w:r>
              <w:t>$500</w:t>
            </w:r>
          </w:p>
        </w:tc>
        <w:tc>
          <w:tcPr>
            <w:tcW w:w="1596" w:type="dxa"/>
          </w:tcPr>
          <w:p w:rsidR="00375CB2" w:rsidRDefault="00375CB2" w:rsidP="00E3163E">
            <w:pPr>
              <w:jc w:val="right"/>
            </w:pPr>
            <w:r>
              <w:t>$500</w:t>
            </w:r>
          </w:p>
        </w:tc>
        <w:tc>
          <w:tcPr>
            <w:tcW w:w="1596" w:type="dxa"/>
          </w:tcPr>
          <w:p w:rsidR="00375CB2" w:rsidRDefault="00375CB2" w:rsidP="00E3163E">
            <w:pPr>
              <w:jc w:val="right"/>
            </w:pPr>
            <w:r>
              <w:t>$471</w:t>
            </w:r>
          </w:p>
        </w:tc>
        <w:tc>
          <w:tcPr>
            <w:tcW w:w="1596" w:type="dxa"/>
          </w:tcPr>
          <w:p w:rsidR="00375CB2" w:rsidRDefault="00375CB2" w:rsidP="00E3163E">
            <w:pPr>
              <w:jc w:val="right"/>
            </w:pPr>
            <w:r>
              <w:t>$471</w:t>
            </w:r>
          </w:p>
        </w:tc>
      </w:tr>
      <w:tr w:rsidR="00375CB2" w:rsidTr="00375CB2">
        <w:tc>
          <w:tcPr>
            <w:tcW w:w="1728" w:type="dxa"/>
          </w:tcPr>
          <w:p w:rsidR="00375CB2" w:rsidRDefault="00375CB2" w:rsidP="00E3163E">
            <w:r>
              <w:t>Housing (+</w:t>
            </w:r>
            <w:proofErr w:type="spellStart"/>
            <w:r>
              <w:t>util</w:t>
            </w:r>
            <w:proofErr w:type="spellEnd"/>
            <w:r>
              <w:t>?)</w:t>
            </w:r>
          </w:p>
        </w:tc>
        <w:tc>
          <w:tcPr>
            <w:tcW w:w="1620" w:type="dxa"/>
          </w:tcPr>
          <w:p w:rsidR="00375CB2" w:rsidRDefault="00375CB2" w:rsidP="00E3163E">
            <w:pPr>
              <w:jc w:val="right"/>
            </w:pPr>
            <w:r>
              <w:t>$1,689</w:t>
            </w:r>
            <w:r>
              <w:rPr>
                <w:rStyle w:val="FootnoteReference"/>
              </w:rPr>
              <w:footnoteReference w:id="1"/>
            </w:r>
          </w:p>
        </w:tc>
        <w:tc>
          <w:tcPr>
            <w:tcW w:w="1440" w:type="dxa"/>
          </w:tcPr>
          <w:p w:rsidR="00375CB2" w:rsidRDefault="00375CB2" w:rsidP="00E3163E">
            <w:pPr>
              <w:jc w:val="right"/>
            </w:pPr>
            <w:r>
              <w:t>$1,123</w:t>
            </w:r>
          </w:p>
        </w:tc>
        <w:tc>
          <w:tcPr>
            <w:tcW w:w="1596" w:type="dxa"/>
          </w:tcPr>
          <w:p w:rsidR="00375CB2" w:rsidRDefault="00375CB2" w:rsidP="00E3163E">
            <w:pPr>
              <w:jc w:val="right"/>
            </w:pPr>
            <w:r>
              <w:t>$1,123</w:t>
            </w:r>
          </w:p>
        </w:tc>
        <w:tc>
          <w:tcPr>
            <w:tcW w:w="1596" w:type="dxa"/>
          </w:tcPr>
          <w:p w:rsidR="00375CB2" w:rsidRDefault="00375CB2" w:rsidP="00E3163E">
            <w:pPr>
              <w:jc w:val="right"/>
            </w:pPr>
            <w:r>
              <w:t>$1,138</w:t>
            </w:r>
          </w:p>
        </w:tc>
        <w:tc>
          <w:tcPr>
            <w:tcW w:w="1596" w:type="dxa"/>
          </w:tcPr>
          <w:p w:rsidR="00375CB2" w:rsidRDefault="00375CB2" w:rsidP="00E3163E">
            <w:pPr>
              <w:jc w:val="right"/>
            </w:pPr>
            <w:r>
              <w:t>$1,138</w:t>
            </w:r>
          </w:p>
        </w:tc>
      </w:tr>
      <w:tr w:rsidR="00375CB2" w:rsidTr="00375CB2">
        <w:tc>
          <w:tcPr>
            <w:tcW w:w="1728" w:type="dxa"/>
          </w:tcPr>
          <w:p w:rsidR="00375CB2" w:rsidRDefault="00375CB2" w:rsidP="00E3163E">
            <w:r>
              <w:lastRenderedPageBreak/>
              <w:t>Transportation</w:t>
            </w:r>
          </w:p>
        </w:tc>
        <w:tc>
          <w:tcPr>
            <w:tcW w:w="1620" w:type="dxa"/>
          </w:tcPr>
          <w:p w:rsidR="00375CB2" w:rsidRDefault="00375CB2" w:rsidP="00E3163E">
            <w:pPr>
              <w:jc w:val="right"/>
            </w:pPr>
            <w:r>
              <w:t>$234</w:t>
            </w:r>
          </w:p>
        </w:tc>
        <w:tc>
          <w:tcPr>
            <w:tcW w:w="1440" w:type="dxa"/>
          </w:tcPr>
          <w:p w:rsidR="00375CB2" w:rsidRDefault="00375CB2" w:rsidP="00E3163E">
            <w:pPr>
              <w:jc w:val="right"/>
            </w:pPr>
            <w:r>
              <w:t>$853</w:t>
            </w:r>
          </w:p>
        </w:tc>
        <w:tc>
          <w:tcPr>
            <w:tcW w:w="1596" w:type="dxa"/>
          </w:tcPr>
          <w:p w:rsidR="00375CB2" w:rsidRDefault="00375CB2" w:rsidP="00E3163E">
            <w:pPr>
              <w:jc w:val="right"/>
            </w:pPr>
            <w:r>
              <w:t>$853</w:t>
            </w:r>
          </w:p>
        </w:tc>
        <w:tc>
          <w:tcPr>
            <w:tcW w:w="1596" w:type="dxa"/>
          </w:tcPr>
          <w:p w:rsidR="00375CB2" w:rsidRDefault="00375CB2" w:rsidP="00E3163E">
            <w:pPr>
              <w:jc w:val="right"/>
            </w:pPr>
            <w:r>
              <w:t>$1,248</w:t>
            </w:r>
          </w:p>
        </w:tc>
        <w:tc>
          <w:tcPr>
            <w:tcW w:w="1596" w:type="dxa"/>
          </w:tcPr>
          <w:p w:rsidR="00375CB2" w:rsidRDefault="00375CB2" w:rsidP="00E3163E">
            <w:pPr>
              <w:jc w:val="right"/>
            </w:pPr>
            <w:r>
              <w:t>$1,394</w:t>
            </w:r>
          </w:p>
        </w:tc>
      </w:tr>
      <w:tr w:rsidR="00375CB2" w:rsidTr="00375CB2">
        <w:tc>
          <w:tcPr>
            <w:tcW w:w="1728" w:type="dxa"/>
          </w:tcPr>
          <w:p w:rsidR="00375CB2" w:rsidRDefault="00375CB2" w:rsidP="00E3163E">
            <w:r>
              <w:t>Other/</w:t>
            </w:r>
            <w:proofErr w:type="spellStart"/>
            <w:r>
              <w:t>Misc</w:t>
            </w:r>
            <w:proofErr w:type="spellEnd"/>
          </w:p>
        </w:tc>
        <w:tc>
          <w:tcPr>
            <w:tcW w:w="1620" w:type="dxa"/>
          </w:tcPr>
          <w:p w:rsidR="00375CB2" w:rsidRDefault="00375CB2" w:rsidP="00E3163E">
            <w:pPr>
              <w:jc w:val="right"/>
            </w:pPr>
            <w:r>
              <w:t>$501</w:t>
            </w:r>
          </w:p>
        </w:tc>
        <w:tc>
          <w:tcPr>
            <w:tcW w:w="1440" w:type="dxa"/>
          </w:tcPr>
          <w:p w:rsidR="00375CB2" w:rsidRDefault="00375CB2" w:rsidP="00E3163E">
            <w:pPr>
              <w:jc w:val="right"/>
            </w:pPr>
            <w:r>
              <w:t>$460</w:t>
            </w:r>
          </w:p>
        </w:tc>
        <w:tc>
          <w:tcPr>
            <w:tcW w:w="1596" w:type="dxa"/>
          </w:tcPr>
          <w:p w:rsidR="00375CB2" w:rsidRDefault="00375CB2" w:rsidP="00E3163E">
            <w:pPr>
              <w:jc w:val="right"/>
            </w:pPr>
            <w:r>
              <w:t>$460</w:t>
            </w:r>
          </w:p>
        </w:tc>
        <w:tc>
          <w:tcPr>
            <w:tcW w:w="1596" w:type="dxa"/>
          </w:tcPr>
          <w:p w:rsidR="00375CB2" w:rsidRDefault="00375CB2" w:rsidP="00E3163E">
            <w:pPr>
              <w:jc w:val="right"/>
            </w:pPr>
            <w:r>
              <w:t>$907</w:t>
            </w:r>
          </w:p>
        </w:tc>
        <w:tc>
          <w:tcPr>
            <w:tcW w:w="1596" w:type="dxa"/>
          </w:tcPr>
          <w:p w:rsidR="00375CB2" w:rsidRDefault="00375CB2" w:rsidP="00E3163E">
            <w:pPr>
              <w:jc w:val="right"/>
            </w:pPr>
            <w:r>
              <w:t>$943</w:t>
            </w:r>
          </w:p>
        </w:tc>
      </w:tr>
      <w:tr w:rsidR="00375CB2" w:rsidTr="00375CB2">
        <w:tc>
          <w:tcPr>
            <w:tcW w:w="1728" w:type="dxa"/>
          </w:tcPr>
          <w:p w:rsidR="00375CB2" w:rsidRDefault="00375CB2" w:rsidP="00E3163E">
            <w:r>
              <w:t xml:space="preserve">Emergency </w:t>
            </w:r>
            <w:proofErr w:type="spellStart"/>
            <w:r>
              <w:t>Svgs</w:t>
            </w:r>
            <w:proofErr w:type="spellEnd"/>
          </w:p>
        </w:tc>
        <w:tc>
          <w:tcPr>
            <w:tcW w:w="1620" w:type="dxa"/>
          </w:tcPr>
          <w:p w:rsidR="00375CB2" w:rsidRDefault="00375CB2" w:rsidP="00E3163E">
            <w:pPr>
              <w:jc w:val="right"/>
            </w:pPr>
            <w:r>
              <w:t>$77</w:t>
            </w:r>
          </w:p>
        </w:tc>
        <w:tc>
          <w:tcPr>
            <w:tcW w:w="1440" w:type="dxa"/>
          </w:tcPr>
          <w:p w:rsidR="00375CB2" w:rsidRDefault="00375CB2" w:rsidP="00E3163E">
            <w:pPr>
              <w:jc w:val="right"/>
            </w:pPr>
            <w:r>
              <w:t>NR</w:t>
            </w:r>
          </w:p>
        </w:tc>
        <w:tc>
          <w:tcPr>
            <w:tcW w:w="1596" w:type="dxa"/>
          </w:tcPr>
          <w:p w:rsidR="00375CB2" w:rsidRDefault="00375CB2" w:rsidP="00E3163E">
            <w:pPr>
              <w:jc w:val="right"/>
            </w:pPr>
            <w:r>
              <w:t>NR</w:t>
            </w:r>
          </w:p>
        </w:tc>
        <w:tc>
          <w:tcPr>
            <w:tcW w:w="1596" w:type="dxa"/>
          </w:tcPr>
          <w:p w:rsidR="00375CB2" w:rsidRDefault="00375CB2" w:rsidP="00E3163E">
            <w:pPr>
              <w:jc w:val="right"/>
            </w:pPr>
            <w:r>
              <w:t>$504</w:t>
            </w:r>
          </w:p>
        </w:tc>
        <w:tc>
          <w:tcPr>
            <w:tcW w:w="1596" w:type="dxa"/>
          </w:tcPr>
          <w:p w:rsidR="00375CB2" w:rsidRDefault="00375CB2" w:rsidP="00E3163E">
            <w:pPr>
              <w:jc w:val="right"/>
            </w:pPr>
            <w:r>
              <w:t>$524</w:t>
            </w:r>
          </w:p>
        </w:tc>
      </w:tr>
      <w:tr w:rsidR="00375CB2" w:rsidTr="00375CB2">
        <w:tc>
          <w:tcPr>
            <w:tcW w:w="1728" w:type="dxa"/>
          </w:tcPr>
          <w:p w:rsidR="00375CB2" w:rsidRDefault="00375CB2" w:rsidP="00375CB2">
            <w:r>
              <w:t>Annual Taxes</w:t>
            </w:r>
          </w:p>
        </w:tc>
        <w:tc>
          <w:tcPr>
            <w:tcW w:w="1620" w:type="dxa"/>
          </w:tcPr>
          <w:p w:rsidR="00375CB2" w:rsidRDefault="00375CB2" w:rsidP="00E3163E">
            <w:pPr>
              <w:jc w:val="right"/>
            </w:pPr>
            <w:r>
              <w:t>$12,504</w:t>
            </w:r>
          </w:p>
        </w:tc>
        <w:tc>
          <w:tcPr>
            <w:tcW w:w="1440" w:type="dxa"/>
          </w:tcPr>
          <w:p w:rsidR="00375CB2" w:rsidRDefault="00375CB2" w:rsidP="00E3163E">
            <w:pPr>
              <w:jc w:val="right"/>
            </w:pPr>
            <w:r>
              <w:t>$5,947</w:t>
            </w:r>
          </w:p>
        </w:tc>
        <w:tc>
          <w:tcPr>
            <w:tcW w:w="1596" w:type="dxa"/>
          </w:tcPr>
          <w:p w:rsidR="00375CB2" w:rsidRDefault="00375CB2" w:rsidP="00E3163E">
            <w:pPr>
              <w:jc w:val="right"/>
            </w:pPr>
            <w:r>
              <w:t>$7,449</w:t>
            </w:r>
          </w:p>
        </w:tc>
        <w:tc>
          <w:tcPr>
            <w:tcW w:w="1596" w:type="dxa"/>
          </w:tcPr>
          <w:p w:rsidR="00375CB2" w:rsidRDefault="00375CB2" w:rsidP="00E3163E">
            <w:pPr>
              <w:jc w:val="right"/>
            </w:pPr>
            <w:r>
              <w:t>$6,560</w:t>
            </w:r>
          </w:p>
        </w:tc>
        <w:tc>
          <w:tcPr>
            <w:tcW w:w="1596" w:type="dxa"/>
          </w:tcPr>
          <w:p w:rsidR="00375CB2" w:rsidRDefault="00375CB2" w:rsidP="00E3163E">
            <w:pPr>
              <w:jc w:val="right"/>
            </w:pPr>
            <w:r>
              <w:t>$10,627</w:t>
            </w:r>
          </w:p>
        </w:tc>
      </w:tr>
      <w:tr w:rsidR="00375CB2" w:rsidTr="00375CB2">
        <w:tc>
          <w:tcPr>
            <w:tcW w:w="1728" w:type="dxa"/>
          </w:tcPr>
          <w:p w:rsidR="00375CB2" w:rsidRDefault="00375CB2" w:rsidP="00375CB2">
            <w:r>
              <w:t xml:space="preserve">Annual </w:t>
            </w:r>
            <w:r>
              <w:t xml:space="preserve">Pre-tax </w:t>
            </w:r>
            <w:r>
              <w:t>income</w:t>
            </w:r>
          </w:p>
        </w:tc>
        <w:tc>
          <w:tcPr>
            <w:tcW w:w="1620" w:type="dxa"/>
          </w:tcPr>
          <w:p w:rsidR="00375CB2" w:rsidRDefault="00375CB2" w:rsidP="00E3163E">
            <w:pPr>
              <w:jc w:val="right"/>
            </w:pPr>
            <w:r>
              <w:t>$75,391</w:t>
            </w:r>
          </w:p>
        </w:tc>
        <w:tc>
          <w:tcPr>
            <w:tcW w:w="1440" w:type="dxa"/>
          </w:tcPr>
          <w:p w:rsidR="00375CB2" w:rsidRDefault="00375CB2" w:rsidP="00E3163E">
            <w:pPr>
              <w:jc w:val="right"/>
            </w:pPr>
            <w:r>
              <w:t>$51,731</w:t>
            </w:r>
          </w:p>
        </w:tc>
        <w:tc>
          <w:tcPr>
            <w:tcW w:w="1596" w:type="dxa"/>
          </w:tcPr>
          <w:p w:rsidR="00375CB2" w:rsidRDefault="00375CB2" w:rsidP="00E3163E">
            <w:pPr>
              <w:jc w:val="right"/>
            </w:pPr>
            <w:r>
              <w:t>$64,797</w:t>
            </w:r>
          </w:p>
        </w:tc>
        <w:tc>
          <w:tcPr>
            <w:tcW w:w="1596" w:type="dxa"/>
          </w:tcPr>
          <w:p w:rsidR="00375CB2" w:rsidRDefault="00375CB2" w:rsidP="00E3163E">
            <w:pPr>
              <w:jc w:val="right"/>
            </w:pPr>
            <w:r>
              <w:t xml:space="preserve">   </w:t>
            </w:r>
            <w:r>
              <w:t>$67,027</w:t>
            </w:r>
          </w:p>
        </w:tc>
        <w:tc>
          <w:tcPr>
            <w:tcW w:w="1596" w:type="dxa"/>
          </w:tcPr>
          <w:p w:rsidR="00375CB2" w:rsidRDefault="00375CB2" w:rsidP="00E3163E">
            <w:pPr>
              <w:jc w:val="right"/>
            </w:pPr>
            <w:r>
              <w:t>$94,366</w:t>
            </w:r>
          </w:p>
        </w:tc>
      </w:tr>
    </w:tbl>
    <w:p w:rsidR="00375CB2" w:rsidRDefault="00375CB2" w:rsidP="00375CB2">
      <w:pPr>
        <w:spacing w:after="0" w:line="240" w:lineRule="auto"/>
      </w:pPr>
      <w:r w:rsidRPr="007B73CF">
        <w:rPr>
          <w:b/>
        </w:rPr>
        <w:t>Comments:</w:t>
      </w:r>
      <w:r>
        <w:t xml:space="preserve">  Biggest discrepancies are for </w:t>
      </w:r>
      <w:r w:rsidRPr="007B73CF">
        <w:rPr>
          <w:b/>
        </w:rPr>
        <w:t>child care</w:t>
      </w:r>
      <w:r>
        <w:t xml:space="preserve"> (MIT lowest at $964/month), </w:t>
      </w:r>
      <w:r w:rsidRPr="007B73CF">
        <w:rPr>
          <w:b/>
        </w:rPr>
        <w:t>housing</w:t>
      </w:r>
      <w:r>
        <w:t xml:space="preserve"> (Self-</w:t>
      </w:r>
      <w:proofErr w:type="spellStart"/>
      <w:r>
        <w:t>Suff</w:t>
      </w:r>
      <w:proofErr w:type="spellEnd"/>
      <w:r>
        <w:t xml:space="preserve"> [for K.C. North Region] highest at $1,689/month), </w:t>
      </w:r>
      <w:r w:rsidRPr="007B73CF">
        <w:rPr>
          <w:b/>
        </w:rPr>
        <w:t xml:space="preserve">transportation </w:t>
      </w:r>
      <w:r>
        <w:t>(huge variation: self-</w:t>
      </w:r>
      <w:proofErr w:type="spellStart"/>
      <w:r>
        <w:t>suff</w:t>
      </w:r>
      <w:proofErr w:type="spellEnd"/>
      <w:r>
        <w:t xml:space="preserve"> very low at $234/month; Alliance for a Just Society is highest at $1,394 for both parents working); </w:t>
      </w:r>
      <w:r w:rsidRPr="007B73CF">
        <w:rPr>
          <w:b/>
        </w:rPr>
        <w:t>Other/</w:t>
      </w:r>
      <w:proofErr w:type="spellStart"/>
      <w:r w:rsidRPr="007B73CF">
        <w:rPr>
          <w:b/>
        </w:rPr>
        <w:t>Misc</w:t>
      </w:r>
      <w:proofErr w:type="spellEnd"/>
      <w:r>
        <w:t xml:space="preserve"> (Alliance for a Just Society is highest at $943 for both parents working) ; </w:t>
      </w:r>
      <w:r w:rsidRPr="007B73CF">
        <w:rPr>
          <w:b/>
        </w:rPr>
        <w:t>savings</w:t>
      </w:r>
      <w:r>
        <w:t xml:space="preserve"> (MIT has none; self-</w:t>
      </w:r>
      <w:proofErr w:type="spellStart"/>
      <w:r>
        <w:t>suff</w:t>
      </w:r>
      <w:proofErr w:type="spellEnd"/>
      <w:r>
        <w:t xml:space="preserve"> = $77; Alliance for Just Society = $524)</w:t>
      </w:r>
    </w:p>
    <w:p w:rsidR="00375CB2" w:rsidRDefault="00375CB2" w:rsidP="00375CB2">
      <w:pPr>
        <w:spacing w:after="0" w:line="240" w:lineRule="auto"/>
      </w:pPr>
    </w:p>
    <w:p w:rsidR="00375CB2" w:rsidRDefault="00375CB2" w:rsidP="00375CB2">
      <w:pPr>
        <w:pStyle w:val="ListParagraph"/>
        <w:numPr>
          <w:ilvl w:val="0"/>
          <w:numId w:val="1"/>
        </w:numPr>
      </w:pPr>
      <w:r>
        <w:t xml:space="preserve">Child Care:  </w:t>
      </w:r>
    </w:p>
    <w:p w:rsidR="00375CB2" w:rsidRDefault="00375CB2" w:rsidP="00375CB2">
      <w:pPr>
        <w:pStyle w:val="ListParagraph"/>
        <w:numPr>
          <w:ilvl w:val="1"/>
          <w:numId w:val="1"/>
        </w:numPr>
      </w:pPr>
      <w:r>
        <w:t>Self-sufficiency:  Uses market-rate costs (75</w:t>
      </w:r>
      <w:r w:rsidRPr="00CB32D9">
        <w:rPr>
          <w:vertAlign w:val="superscript"/>
        </w:rPr>
        <w:t>th</w:t>
      </w:r>
      <w:r>
        <w:t xml:space="preserve"> percentile) by facility type, age, and geographic location.  Assumes infants and preschoolers are in full-time child care, school-age in before- and after-school care (doesn’t explicitly differentiate by # of parents working, but default appears to be for 2 working parents).</w:t>
      </w:r>
    </w:p>
    <w:p w:rsidR="00375CB2" w:rsidRDefault="00375CB2" w:rsidP="00375CB2">
      <w:pPr>
        <w:pStyle w:val="ListParagraph"/>
        <w:numPr>
          <w:ilvl w:val="1"/>
          <w:numId w:val="1"/>
        </w:numPr>
      </w:pPr>
      <w:r>
        <w:t>MIT starts with state-level estimates published by the National Association of Child Care Resource and Referral Agencies (2015).  Assuming that low-income families would select the lowest-cost option, that’s what they used (family child care or child care center).</w:t>
      </w:r>
    </w:p>
    <w:p w:rsidR="00375CB2" w:rsidRDefault="00375CB2" w:rsidP="00375CB2">
      <w:pPr>
        <w:pStyle w:val="ListParagraph"/>
        <w:numPr>
          <w:ilvl w:val="1"/>
          <w:numId w:val="1"/>
        </w:numPr>
      </w:pPr>
      <w:r>
        <w:t>Alliance for Just Society:  derived from market rate surveys conducted by state welfare agencies.</w:t>
      </w:r>
    </w:p>
    <w:p w:rsidR="00375CB2" w:rsidRDefault="00375CB2" w:rsidP="00375CB2">
      <w:pPr>
        <w:pStyle w:val="ListParagraph"/>
        <w:numPr>
          <w:ilvl w:val="0"/>
          <w:numId w:val="1"/>
        </w:numPr>
      </w:pPr>
      <w:r>
        <w:t>Housing</w:t>
      </w:r>
    </w:p>
    <w:p w:rsidR="00375CB2" w:rsidRDefault="00375CB2" w:rsidP="00375CB2">
      <w:pPr>
        <w:pStyle w:val="ListParagraph"/>
        <w:numPr>
          <w:ilvl w:val="1"/>
          <w:numId w:val="1"/>
        </w:numPr>
      </w:pPr>
      <w:r>
        <w:t>Self-sufficiency standard uses HUD Fair Market Rents (generally set at 40</w:t>
      </w:r>
      <w:r w:rsidRPr="001477C9">
        <w:rPr>
          <w:vertAlign w:val="superscript"/>
        </w:rPr>
        <w:t>th</w:t>
      </w:r>
      <w:r>
        <w:t xml:space="preserve"> percentile), which include rent and utilities, but not cable or phone. </w:t>
      </w:r>
      <w:hyperlink r:id="rId22" w:history="1">
        <w:r w:rsidRPr="00926D8A">
          <w:rPr>
            <w:rStyle w:val="Hyperlink"/>
          </w:rPr>
          <w:t>NOTE:</w:t>
        </w:r>
      </w:hyperlink>
      <w:r>
        <w:t xml:space="preserve"> “The 2014 Washington State Self-Sufficiency Standard was based on the FY 2015 FMRs. However, reflecting rapid changes in the housing market, HUD released a revised FY2015 dataset on January 12, 2015 which updated the FY2015 FMRs for Seattle-Bellevue, WA HMFA, resulting in a 20% increase in housing costs for King and Snohomish counties. Due to the large increase in housing costs, the 2014 Washington State </w:t>
      </w:r>
      <w:proofErr w:type="spellStart"/>
      <w:r>
        <w:t>SelfSufficiency</w:t>
      </w:r>
      <w:proofErr w:type="spellEnd"/>
      <w:r>
        <w:t xml:space="preserve"> Standard has been updated to reflect HUD’s revision of the FY2015 FMRs.”</w:t>
      </w:r>
    </w:p>
    <w:p w:rsidR="00375CB2" w:rsidRDefault="00375CB2" w:rsidP="00375CB2">
      <w:pPr>
        <w:pStyle w:val="ListParagraph"/>
        <w:numPr>
          <w:ilvl w:val="1"/>
          <w:numId w:val="1"/>
        </w:numPr>
      </w:pPr>
      <w:r>
        <w:t>MIT uses HUD Fair Market Rents estimates, which include utility costs.  Assumes family with 2 children will need 2BR unit.</w:t>
      </w:r>
    </w:p>
    <w:p w:rsidR="00375CB2" w:rsidRDefault="00375CB2" w:rsidP="00375CB2">
      <w:pPr>
        <w:pStyle w:val="ListParagraph"/>
        <w:numPr>
          <w:ilvl w:val="1"/>
          <w:numId w:val="1"/>
        </w:numPr>
      </w:pPr>
      <w:r>
        <w:t>Alliance for Just Society: housing costs derived from HUD Fair Market Rents + utilities; also includes phone service for unlimited local calls with no call-waiting, voice messaging, or other extras;  internet, cable, or other optional utilities not included.</w:t>
      </w:r>
    </w:p>
    <w:p w:rsidR="00375CB2" w:rsidRDefault="00375CB2" w:rsidP="00375CB2">
      <w:pPr>
        <w:pStyle w:val="ListParagraph"/>
        <w:numPr>
          <w:ilvl w:val="0"/>
          <w:numId w:val="1"/>
        </w:numPr>
      </w:pPr>
      <w:r>
        <w:t xml:space="preserve">Transportation </w:t>
      </w:r>
    </w:p>
    <w:p w:rsidR="00375CB2" w:rsidRDefault="00375CB2" w:rsidP="00375CB2">
      <w:pPr>
        <w:pStyle w:val="ListParagraph"/>
        <w:numPr>
          <w:ilvl w:val="1"/>
          <w:numId w:val="1"/>
        </w:numPr>
      </w:pPr>
      <w:r>
        <w:t xml:space="preserve">Self-sufficiency standard:  uses public transit costs for Seattle (although in 2014 only 21% of Seattle workers took public transit to work and working parents with young children are less likely to use public transit).  </w:t>
      </w:r>
    </w:p>
    <w:p w:rsidR="00375CB2" w:rsidRDefault="00375CB2" w:rsidP="00375CB2">
      <w:pPr>
        <w:pStyle w:val="ListParagraph"/>
        <w:numPr>
          <w:ilvl w:val="1"/>
          <w:numId w:val="1"/>
        </w:numPr>
      </w:pPr>
      <w:r>
        <w:lastRenderedPageBreak/>
        <w:t>MIT:  Used national expenditure data by HH size from 2014 Bureau of Labor Statistics Consumer Expenditure Survey.  Covers operational expenses such as fuel and routine maintenance as well as vehicle financing and insurance; does not cover purchase of new auto.  Intuitively, transportation costs should be higher if both parents are working.</w:t>
      </w:r>
    </w:p>
    <w:p w:rsidR="00375CB2" w:rsidRDefault="00375CB2" w:rsidP="00375CB2">
      <w:pPr>
        <w:pStyle w:val="ListParagraph"/>
        <w:numPr>
          <w:ilvl w:val="1"/>
          <w:numId w:val="1"/>
        </w:numPr>
      </w:pPr>
      <w:r>
        <w:t xml:space="preserve">Alliance for Just Society derives transportation costs using 2009 National Household Travel Survey from U.S. DOT and the 2012 IRS standard mileage rates (which accounts for vehicle cost, insurance, gasoline, repairs, depreciation, and vehicle registration fees) “as an approximate cost for automobile travel.”  Based on the cost of maintaining a private vehicle; mileage totals are adjusted for # of adults, workers, and persons in each household.  </w:t>
      </w:r>
      <w:r w:rsidRPr="00A47314">
        <w:rPr>
          <w:i/>
        </w:rPr>
        <w:t xml:space="preserve">This </w:t>
      </w:r>
      <w:r>
        <w:rPr>
          <w:i/>
        </w:rPr>
        <w:t xml:space="preserve">estimate </w:t>
      </w:r>
      <w:r w:rsidRPr="00A47314">
        <w:rPr>
          <w:i/>
        </w:rPr>
        <w:t>does not differ across states.</w:t>
      </w:r>
      <w:r>
        <w:t xml:space="preserve">  </w:t>
      </w:r>
    </w:p>
    <w:p w:rsidR="00375CB2" w:rsidRDefault="00375CB2" w:rsidP="00375CB2">
      <w:pPr>
        <w:pStyle w:val="ListParagraph"/>
        <w:numPr>
          <w:ilvl w:val="0"/>
          <w:numId w:val="1"/>
        </w:numPr>
      </w:pPr>
      <w:r>
        <w:t>Other/</w:t>
      </w:r>
      <w:proofErr w:type="spellStart"/>
      <w:r>
        <w:t>Misc</w:t>
      </w:r>
      <w:proofErr w:type="spellEnd"/>
    </w:p>
    <w:p w:rsidR="00375CB2" w:rsidRDefault="00375CB2" w:rsidP="00375CB2">
      <w:pPr>
        <w:pStyle w:val="ListParagraph"/>
        <w:numPr>
          <w:ilvl w:val="1"/>
          <w:numId w:val="1"/>
        </w:numPr>
      </w:pPr>
      <w:r>
        <w:t xml:space="preserve">Self-sufficiency standard: 10% of all other costs. Includes all other essentials including clothing, shoes, paper products, diapers, nonprescription meds, cleaning products, household items, personal hygiene items, and telephone service.  Doesn’t include recreation, entertainment, savings, or debt repayment. </w:t>
      </w:r>
    </w:p>
    <w:p w:rsidR="00375CB2" w:rsidRDefault="00375CB2" w:rsidP="00375CB2">
      <w:pPr>
        <w:pStyle w:val="ListParagraph"/>
        <w:numPr>
          <w:ilvl w:val="1"/>
          <w:numId w:val="1"/>
        </w:numPr>
      </w:pPr>
      <w:r>
        <w:t>MIT:  Items such as clothing, personal care items, and household supplies.  Based on 2014 data by HH size from 2014 Bureau of Labor Statistics Consumer Expenditure Survey including apparel &amp; services, HH supplies, personal care products/services, reading, &amp; misc.</w:t>
      </w:r>
    </w:p>
    <w:p w:rsidR="00375CB2" w:rsidRDefault="00375CB2" w:rsidP="00375CB2">
      <w:pPr>
        <w:pStyle w:val="ListParagraph"/>
        <w:numPr>
          <w:ilvl w:val="1"/>
          <w:numId w:val="1"/>
        </w:numPr>
      </w:pPr>
      <w:r>
        <w:t xml:space="preserve">Alliance for Just Society uses 18% (of total household spending minus child care and taxes) for household, clothing, and personal items; estimates derived from Consumer Expenditure Survey, calculated as fixed % of total household spending minus child care and taxes. Includes costs of operating a household (5%); clothing, personal care products, reading materials, and other personal expenses (6%); recreation/entertainment (including fees for participant sports, admissions to events, movie/video rentals, TV/sound equipment, music, pets, toys, etc. (5%); </w:t>
      </w:r>
      <w:proofErr w:type="spellStart"/>
      <w:r>
        <w:t>misc</w:t>
      </w:r>
      <w:proofErr w:type="spellEnd"/>
      <w:r>
        <w:t xml:space="preserve"> such as school supplies, bank fee, credit card finance charges (2%).  </w:t>
      </w:r>
    </w:p>
    <w:p w:rsidR="00375CB2" w:rsidRDefault="00375CB2" w:rsidP="00375CB2">
      <w:pPr>
        <w:pStyle w:val="ListParagraph"/>
        <w:numPr>
          <w:ilvl w:val="0"/>
          <w:numId w:val="1"/>
        </w:numPr>
      </w:pPr>
      <w:r>
        <w:t>Savings</w:t>
      </w:r>
    </w:p>
    <w:p w:rsidR="00375CB2" w:rsidRDefault="00375CB2" w:rsidP="00375CB2">
      <w:pPr>
        <w:pStyle w:val="ListParagraph"/>
        <w:numPr>
          <w:ilvl w:val="1"/>
          <w:numId w:val="1"/>
        </w:numPr>
      </w:pPr>
      <w:r>
        <w:t>Self-Sufficiency:   For emergency savings to cover living expenses in case of job loss, minus amount of unemployment benefits.  Assumes 2</w:t>
      </w:r>
      <w:r w:rsidRPr="00C0532B">
        <w:rPr>
          <w:vertAlign w:val="superscript"/>
        </w:rPr>
        <w:t>nd</w:t>
      </w:r>
      <w:r>
        <w:t xml:space="preserve"> employed adult is still employed, so savings only needs to cover half of family’s basic expenses over job-loss period.   [Differences across regions don’t make sense.]</w:t>
      </w:r>
    </w:p>
    <w:p w:rsidR="00375CB2" w:rsidRDefault="00375CB2" w:rsidP="00375CB2">
      <w:pPr>
        <w:pStyle w:val="ListParagraph"/>
        <w:numPr>
          <w:ilvl w:val="1"/>
          <w:numId w:val="1"/>
        </w:numPr>
      </w:pPr>
      <w:r>
        <w:t>MIT:  “does not provide financial means for planning for the future through savings and investment or for purchase of capital assets (retirement/home purchase).</w:t>
      </w:r>
    </w:p>
    <w:p w:rsidR="00375CB2" w:rsidRDefault="00375CB2" w:rsidP="00375CB2">
      <w:pPr>
        <w:pStyle w:val="ListParagraph"/>
        <w:numPr>
          <w:ilvl w:val="1"/>
          <w:numId w:val="1"/>
        </w:numPr>
      </w:pPr>
      <w:r>
        <w:t>Alliance for Just Society follows the American Savings Education Council’s formula for estimating the % of HH income that families should save (7%-13% of HH income), and assumes that workers are not enrolled in employer-sponsored retirement plans.  They use the lower estimate (7%) here, and add 3% to cover emergencies and planning ahead.  Final estimates are 10% (of total household spending minus child care and taxes).</w:t>
      </w:r>
    </w:p>
    <w:p w:rsidR="00375CB2" w:rsidRDefault="00375CB2" w:rsidP="00375CB2">
      <w:pPr>
        <w:pStyle w:val="ListParagraph"/>
        <w:numPr>
          <w:ilvl w:val="0"/>
          <w:numId w:val="1"/>
        </w:numPr>
      </w:pPr>
      <w:r>
        <w:t>Taxes</w:t>
      </w:r>
    </w:p>
    <w:p w:rsidR="00375CB2" w:rsidRDefault="00375CB2" w:rsidP="00375CB2">
      <w:pPr>
        <w:pStyle w:val="ListParagraph"/>
        <w:numPr>
          <w:ilvl w:val="1"/>
          <w:numId w:val="1"/>
        </w:numPr>
      </w:pPr>
      <w:r>
        <w:t>Self-</w:t>
      </w:r>
      <w:proofErr w:type="spellStart"/>
      <w:r>
        <w:t>Suff</w:t>
      </w:r>
      <w:proofErr w:type="spellEnd"/>
      <w:r>
        <w:t xml:space="preserve"> Index: includes federal income tax, payroll taxes, and state/local sales taxes.  Also explicitly includes estimates for earned income tax credit, child care tax credit, and child tax credit.  Does not include property taxes or gasoline taxes.</w:t>
      </w:r>
    </w:p>
    <w:p w:rsidR="00375CB2" w:rsidRDefault="00375CB2" w:rsidP="00375CB2">
      <w:pPr>
        <w:pStyle w:val="ListParagraph"/>
        <w:numPr>
          <w:ilvl w:val="1"/>
          <w:numId w:val="1"/>
        </w:numPr>
      </w:pPr>
      <w:r>
        <w:lastRenderedPageBreak/>
        <w:t>MIT: Payroll taxes, state income tax, and federal income tax.  Property and sales taxes not included. Federal income tax is calculated as % of total income based on the average tax paid by median-income 4-person families as reported by the Tax Policy Center of the Urban Institute and Brookings Institution for 2014 (5.34%).</w:t>
      </w:r>
    </w:p>
    <w:p w:rsidR="00375CB2" w:rsidRDefault="00375CB2" w:rsidP="00375CB2">
      <w:pPr>
        <w:pStyle w:val="ListParagraph"/>
        <w:numPr>
          <w:ilvl w:val="1"/>
          <w:numId w:val="1"/>
        </w:numPr>
      </w:pPr>
      <w:r>
        <w:t>Alliance for Just Society includes federal taxes (including child care credits and Earned Income Tax Credit), payroll taxes (SS and Medicare), and state income taxes where applicable.  Property taxes are not included here b/c they’re accounted for in housing costs.  State and local sales taxes are not included.</w:t>
      </w:r>
    </w:p>
    <w:p w:rsidR="00375CB2" w:rsidRDefault="00375CB2"/>
    <w:sectPr w:rsidR="00375CB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B2" w:rsidRDefault="00375CB2" w:rsidP="00375CB2">
      <w:pPr>
        <w:spacing w:after="0" w:line="240" w:lineRule="auto"/>
      </w:pPr>
      <w:r>
        <w:separator/>
      </w:r>
    </w:p>
  </w:endnote>
  <w:endnote w:type="continuationSeparator" w:id="0">
    <w:p w:rsidR="00375CB2" w:rsidRDefault="00375CB2" w:rsidP="0037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B2" w:rsidRDefault="00C32540">
    <w:pPr>
      <w:pStyle w:val="Footer"/>
    </w:pPr>
    <w:hyperlink r:id="rId1" w:history="1">
      <w:r w:rsidRPr="00CB157F">
        <w:rPr>
          <w:rStyle w:val="Hyperlink"/>
        </w:rPr>
        <w:t>www.communitiescount.org</w:t>
      </w:r>
    </w:hyperlink>
    <w:r>
      <w:t xml:space="preserve"> </w:t>
    </w:r>
    <w:r w:rsidR="00375CB2">
      <w:ptab w:relativeTo="margin" w:alignment="center" w:leader="none"/>
    </w:r>
    <w:r>
      <w:t xml:space="preserve"> </w:t>
    </w:r>
    <w:r w:rsidR="00375CB2">
      <w:t>Louise Carter</w:t>
    </w:r>
    <w:r>
      <w:t>’s notes</w:t>
    </w:r>
    <w:r w:rsidR="00375CB2">
      <w:ptab w:relativeTo="margin" w:alignment="right" w:leader="none"/>
    </w:r>
    <w:r>
      <w:t>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B2" w:rsidRDefault="00375CB2" w:rsidP="00375CB2">
      <w:pPr>
        <w:spacing w:after="0" w:line="240" w:lineRule="auto"/>
      </w:pPr>
      <w:r>
        <w:separator/>
      </w:r>
    </w:p>
  </w:footnote>
  <w:footnote w:type="continuationSeparator" w:id="0">
    <w:p w:rsidR="00375CB2" w:rsidRDefault="00375CB2" w:rsidP="00375CB2">
      <w:pPr>
        <w:spacing w:after="0" w:line="240" w:lineRule="auto"/>
      </w:pPr>
      <w:r>
        <w:continuationSeparator/>
      </w:r>
    </w:p>
  </w:footnote>
  <w:footnote w:id="1">
    <w:p w:rsidR="00375CB2" w:rsidRDefault="00375CB2">
      <w:pPr>
        <w:pStyle w:val="FootnoteText"/>
      </w:pPr>
      <w:r>
        <w:rPr>
          <w:rStyle w:val="FootnoteReference"/>
        </w:rPr>
        <w:footnoteRef/>
      </w:r>
      <w:r>
        <w:t xml:space="preserve"> HUD’s FY2015 dataset for Fair Market Rates was revised in January 2015 to reflect 20% rent increase in Seattle-Bellevue HMFA.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5283"/>
    <w:multiLevelType w:val="hybridMultilevel"/>
    <w:tmpl w:val="64A2F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B2"/>
    <w:rsid w:val="00375CB2"/>
    <w:rsid w:val="0055450B"/>
    <w:rsid w:val="00C32540"/>
    <w:rsid w:val="00F1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CB2"/>
    <w:rPr>
      <w:color w:val="0000FF" w:themeColor="hyperlink"/>
      <w:u w:val="single"/>
    </w:rPr>
  </w:style>
  <w:style w:type="table" w:styleId="TableGrid">
    <w:name w:val="Table Grid"/>
    <w:basedOn w:val="TableNormal"/>
    <w:uiPriority w:val="59"/>
    <w:rsid w:val="0037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CB2"/>
    <w:pPr>
      <w:ind w:left="720"/>
      <w:contextualSpacing/>
    </w:pPr>
  </w:style>
  <w:style w:type="paragraph" w:styleId="Header">
    <w:name w:val="header"/>
    <w:basedOn w:val="Normal"/>
    <w:link w:val="HeaderChar"/>
    <w:uiPriority w:val="99"/>
    <w:unhideWhenUsed/>
    <w:rsid w:val="0037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CB2"/>
  </w:style>
  <w:style w:type="paragraph" w:styleId="Footer">
    <w:name w:val="footer"/>
    <w:basedOn w:val="Normal"/>
    <w:link w:val="FooterChar"/>
    <w:uiPriority w:val="99"/>
    <w:unhideWhenUsed/>
    <w:rsid w:val="0037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CB2"/>
  </w:style>
  <w:style w:type="paragraph" w:styleId="FootnoteText">
    <w:name w:val="footnote text"/>
    <w:basedOn w:val="Normal"/>
    <w:link w:val="FootnoteTextChar"/>
    <w:uiPriority w:val="99"/>
    <w:semiHidden/>
    <w:unhideWhenUsed/>
    <w:rsid w:val="00375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CB2"/>
    <w:rPr>
      <w:sz w:val="20"/>
      <w:szCs w:val="20"/>
    </w:rPr>
  </w:style>
  <w:style w:type="character" w:styleId="FootnoteReference">
    <w:name w:val="footnote reference"/>
    <w:basedOn w:val="DefaultParagraphFont"/>
    <w:uiPriority w:val="99"/>
    <w:semiHidden/>
    <w:unhideWhenUsed/>
    <w:rsid w:val="00375CB2"/>
    <w:rPr>
      <w:vertAlign w:val="superscript"/>
    </w:rPr>
  </w:style>
  <w:style w:type="paragraph" w:styleId="BalloonText">
    <w:name w:val="Balloon Text"/>
    <w:basedOn w:val="Normal"/>
    <w:link w:val="BalloonTextChar"/>
    <w:uiPriority w:val="99"/>
    <w:semiHidden/>
    <w:unhideWhenUsed/>
    <w:rsid w:val="00375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CB2"/>
    <w:rPr>
      <w:color w:val="0000FF" w:themeColor="hyperlink"/>
      <w:u w:val="single"/>
    </w:rPr>
  </w:style>
  <w:style w:type="table" w:styleId="TableGrid">
    <w:name w:val="Table Grid"/>
    <w:basedOn w:val="TableNormal"/>
    <w:uiPriority w:val="59"/>
    <w:rsid w:val="0037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CB2"/>
    <w:pPr>
      <w:ind w:left="720"/>
      <w:contextualSpacing/>
    </w:pPr>
  </w:style>
  <w:style w:type="paragraph" w:styleId="Header">
    <w:name w:val="header"/>
    <w:basedOn w:val="Normal"/>
    <w:link w:val="HeaderChar"/>
    <w:uiPriority w:val="99"/>
    <w:unhideWhenUsed/>
    <w:rsid w:val="0037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CB2"/>
  </w:style>
  <w:style w:type="paragraph" w:styleId="Footer">
    <w:name w:val="footer"/>
    <w:basedOn w:val="Normal"/>
    <w:link w:val="FooterChar"/>
    <w:uiPriority w:val="99"/>
    <w:unhideWhenUsed/>
    <w:rsid w:val="0037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CB2"/>
  </w:style>
  <w:style w:type="paragraph" w:styleId="FootnoteText">
    <w:name w:val="footnote text"/>
    <w:basedOn w:val="Normal"/>
    <w:link w:val="FootnoteTextChar"/>
    <w:uiPriority w:val="99"/>
    <w:semiHidden/>
    <w:unhideWhenUsed/>
    <w:rsid w:val="00375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CB2"/>
    <w:rPr>
      <w:sz w:val="20"/>
      <w:szCs w:val="20"/>
    </w:rPr>
  </w:style>
  <w:style w:type="character" w:styleId="FootnoteReference">
    <w:name w:val="footnote reference"/>
    <w:basedOn w:val="DefaultParagraphFont"/>
    <w:uiPriority w:val="99"/>
    <w:semiHidden/>
    <w:unhideWhenUsed/>
    <w:rsid w:val="00375CB2"/>
    <w:rPr>
      <w:vertAlign w:val="superscript"/>
    </w:rPr>
  </w:style>
  <w:style w:type="paragraph" w:styleId="BalloonText">
    <w:name w:val="Balloon Text"/>
    <w:basedOn w:val="Normal"/>
    <w:link w:val="BalloonTextChar"/>
    <w:uiPriority w:val="99"/>
    <w:semiHidden/>
    <w:unhideWhenUsed/>
    <w:rsid w:val="00375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vingwage.mit.edu/counties/53033" TargetMode="External"/><Relationship Id="rId18" Type="http://schemas.openxmlformats.org/officeDocument/2006/relationships/hyperlink" Target="http://livingwage.mit.edu/counties/53033" TargetMode="External"/><Relationship Id="rId3" Type="http://schemas.openxmlformats.org/officeDocument/2006/relationships/styles" Target="styles.xml"/><Relationship Id="rId21" Type="http://schemas.openxmlformats.org/officeDocument/2006/relationships/hyperlink" Target="http://allianceforajustsociety.org/wp-content/uploads/2015/10/Pay-Up-Revised-FINAL.pdf" TargetMode="External"/><Relationship Id="rId7" Type="http://schemas.openxmlformats.org/officeDocument/2006/relationships/footnotes" Target="footnotes.xml"/><Relationship Id="rId12" Type="http://schemas.openxmlformats.org/officeDocument/2006/relationships/hyperlink" Target="http://selfsufficiencystandard.org/sites/default/files/selfsuff/docs/WA2014_SSS_Aug2015Rev.pdf" TargetMode="External"/><Relationship Id="rId17" Type="http://schemas.openxmlformats.org/officeDocument/2006/relationships/hyperlink" Target="http://selfsufficiencystandard.org/sites/default/files/selfsuff/docs/WA2014_SSS_Aug2015Rev.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llianceforajustsociety.org/wp-content/uploads/2015/10/Pay-Up-Revised-FINAL.pdf" TargetMode="External"/><Relationship Id="rId20" Type="http://schemas.openxmlformats.org/officeDocument/2006/relationships/hyperlink" Target="http://allianceforajustsociety.org/wp-content/uploads/2015/10/Pay-Up-Revised-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lianceforajustsociety.org/wp-content/uploads/2015/10/Pay-Up-revised-11.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llianceforajustsociety.org/wp-content/uploads/2015/10/Pay-Up-Revised-FINAL.pdf" TargetMode="External"/><Relationship Id="rId23" Type="http://schemas.openxmlformats.org/officeDocument/2006/relationships/footer" Target="footer1.xml"/><Relationship Id="rId10" Type="http://schemas.openxmlformats.org/officeDocument/2006/relationships/hyperlink" Target="http://livingwage.mit.edu/resources/Living-Wage-User-Guide-and-Technical-Notes-2015.pdf" TargetMode="External"/><Relationship Id="rId19" Type="http://schemas.openxmlformats.org/officeDocument/2006/relationships/hyperlink" Target="http://livingwage.mit.edu/counties/53033" TargetMode="External"/><Relationship Id="rId4" Type="http://schemas.microsoft.com/office/2007/relationships/stylesWithEffects" Target="stylesWithEffects.xml"/><Relationship Id="rId9" Type="http://schemas.openxmlformats.org/officeDocument/2006/relationships/hyperlink" Target="http://static1.squarespace.com/static/53c04ba6e4b0012ad48d079e/t/564cf13be4b087fd75874f2a/1447883067894/WA14_SSS-Web_AugRev_100915.pdf" TargetMode="External"/><Relationship Id="rId14" Type="http://schemas.openxmlformats.org/officeDocument/2006/relationships/hyperlink" Target="http://livingwage.mit.edu/counties/53033" TargetMode="External"/><Relationship Id="rId22" Type="http://schemas.openxmlformats.org/officeDocument/2006/relationships/hyperlink" Target="http://static1.squarespace.com/static/53c04ba6e4b0012ad48d079e/t/564cf13be4b087fd75874f2a/1447883067894/WA14_SSS-Web_AugRev_100915.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cou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E9392-6944-4F26-91DD-A6F2708F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Louise</dc:creator>
  <cp:lastModifiedBy>Carter, Louise</cp:lastModifiedBy>
  <cp:revision>1</cp:revision>
  <dcterms:created xsi:type="dcterms:W3CDTF">2016-06-22T00:36:00Z</dcterms:created>
  <dcterms:modified xsi:type="dcterms:W3CDTF">2016-06-22T00:52:00Z</dcterms:modified>
</cp:coreProperties>
</file>