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4BED" w:rsidRPr="00CD6A04" w:rsidRDefault="00504785" w:rsidP="0049756C">
      <w:pPr>
        <w:spacing w:after="240" w:line="288" w:lineRule="auto"/>
        <w:rPr>
          <w:rFonts w:ascii="Century Gothic" w:hAnsi="Century Gothic"/>
          <w:b/>
          <w:sz w:val="32"/>
          <w:szCs w:val="32"/>
        </w:rPr>
      </w:pPr>
      <w:r w:rsidRPr="00CD6A04">
        <w:rPr>
          <w:rFonts w:ascii="Century Gothic" w:hAnsi="Century Gothic"/>
          <w:b/>
          <w:sz w:val="32"/>
          <w:szCs w:val="32"/>
        </w:rPr>
        <w:t>Connecting Health, Housing, and Neighborhoods</w:t>
      </w:r>
      <w:r w:rsidR="00CD6A04">
        <w:rPr>
          <w:rFonts w:ascii="Century Gothic" w:hAnsi="Century Gothic"/>
          <w:b/>
          <w:sz w:val="32"/>
          <w:szCs w:val="32"/>
        </w:rPr>
        <w:t xml:space="preserve"> </w:t>
      </w:r>
      <w:r w:rsidR="00CD6A04">
        <w:rPr>
          <w:rFonts w:ascii="Century Gothic" w:hAnsi="Century Gothic"/>
          <w:b/>
          <w:sz w:val="32"/>
          <w:szCs w:val="32"/>
        </w:rPr>
        <w:br/>
      </w:r>
      <w:r w:rsidRPr="00CD6A04">
        <w:rPr>
          <w:rFonts w:ascii="Century Gothic" w:hAnsi="Century Gothic"/>
          <w:sz w:val="24"/>
        </w:rPr>
        <w:t xml:space="preserve">Thursday morning 11:00 a.m. </w:t>
      </w:r>
      <w:r w:rsidR="00CD6A04">
        <w:rPr>
          <w:rFonts w:ascii="Century Gothic" w:hAnsi="Century Gothic"/>
          <w:sz w:val="24"/>
        </w:rPr>
        <w:t xml:space="preserve">– </w:t>
      </w:r>
      <w:r w:rsidRPr="00CD6A04">
        <w:rPr>
          <w:rFonts w:ascii="Century Gothic" w:hAnsi="Century Gothic"/>
          <w:sz w:val="24"/>
        </w:rPr>
        <w:t>12:00 p.m.</w:t>
      </w:r>
      <w:r w:rsidR="00CD6A04">
        <w:rPr>
          <w:rFonts w:ascii="Century Gothic" w:hAnsi="Century Gothic"/>
          <w:sz w:val="24"/>
        </w:rPr>
        <w:t xml:space="preserve"> </w:t>
      </w:r>
    </w:p>
    <w:p w:rsidR="00374BED" w:rsidRPr="00CD6A04" w:rsidRDefault="00504785" w:rsidP="0049756C">
      <w:pPr>
        <w:spacing w:after="240" w:line="288" w:lineRule="auto"/>
        <w:rPr>
          <w:rFonts w:ascii="Century Gothic" w:hAnsi="Century Gothic"/>
        </w:rPr>
      </w:pPr>
      <w:r w:rsidRPr="00CD6A04">
        <w:rPr>
          <w:rFonts w:ascii="Century Gothic" w:hAnsi="Century Gothic"/>
        </w:rPr>
        <w:t>NNIP partners all share an understanding of how neighborhoods create opportunities and challenges for residents. The effects of housing and neighborhood conditions on health outcomes are illustra</w:t>
      </w:r>
      <w:r w:rsidR="00CD6A04">
        <w:rPr>
          <w:rFonts w:ascii="Century Gothic" w:hAnsi="Century Gothic"/>
        </w:rPr>
        <w:t>tions of why traditionally siloe</w:t>
      </w:r>
      <w:r w:rsidRPr="00CD6A04">
        <w:rPr>
          <w:rFonts w:ascii="Century Gothic" w:hAnsi="Century Gothic"/>
        </w:rPr>
        <w:t xml:space="preserve">d issue areas must be examined together and why cross-sector work is essential to the improvement of low-income neighborhoods.  </w:t>
      </w:r>
    </w:p>
    <w:p w:rsidR="00374BED" w:rsidRPr="00CD6A04" w:rsidRDefault="00504785" w:rsidP="0049756C">
      <w:pPr>
        <w:spacing w:after="240" w:line="288" w:lineRule="auto"/>
        <w:rPr>
          <w:rFonts w:ascii="Century Gothic" w:hAnsi="Century Gothic"/>
        </w:rPr>
      </w:pPr>
      <w:r w:rsidRPr="00CD6A04">
        <w:rPr>
          <w:rFonts w:ascii="Century Gothic" w:hAnsi="Century Gothic"/>
          <w:color w:val="221E1F"/>
        </w:rPr>
        <w:t>Housing and neighborhoods affect health outcomes through four pathways (</w:t>
      </w:r>
      <w:hyperlink r:id="rId6" w:history="1">
        <w:r w:rsidR="00136155">
          <w:rPr>
            <w:rStyle w:val="Hyperlink"/>
            <w:rFonts w:ascii="Century Gothic" w:hAnsi="Century Gothic"/>
          </w:rPr>
          <w:t>Lubell et al.</w:t>
        </w:r>
      </w:hyperlink>
      <w:r w:rsidRPr="00CD6A04">
        <w:rPr>
          <w:rFonts w:ascii="Century Gothic" w:hAnsi="Century Gothic"/>
          <w:color w:val="221E1F"/>
        </w:rPr>
        <w:t>):</w:t>
      </w:r>
    </w:p>
    <w:p w:rsidR="00374BED" w:rsidRPr="00CD6A04" w:rsidRDefault="00504785" w:rsidP="0049756C">
      <w:pPr>
        <w:spacing w:after="240" w:line="288" w:lineRule="auto"/>
        <w:ind w:left="720"/>
        <w:rPr>
          <w:rFonts w:ascii="Century Gothic" w:hAnsi="Century Gothic"/>
        </w:rPr>
      </w:pPr>
      <w:r w:rsidRPr="00CD6A04">
        <w:rPr>
          <w:rFonts w:ascii="Century Gothic" w:hAnsi="Century Gothic"/>
          <w:i/>
          <w:color w:val="221E1F"/>
        </w:rPr>
        <w:t xml:space="preserve">• Housing quality </w:t>
      </w:r>
      <w:r w:rsidRPr="00CD6A04">
        <w:rPr>
          <w:rFonts w:ascii="Century Gothic" w:hAnsi="Century Gothic"/>
          <w:color w:val="221E1F"/>
        </w:rPr>
        <w:t>impacts physiological health (e.g., lead, mold), psychological health (e.g., noise, inadequate light), and safety (e.g., falls, fires).</w:t>
      </w:r>
    </w:p>
    <w:p w:rsidR="00374BED" w:rsidRPr="00CD6A04" w:rsidRDefault="00504785" w:rsidP="0049756C">
      <w:pPr>
        <w:spacing w:after="240" w:line="288" w:lineRule="auto"/>
        <w:ind w:left="720"/>
        <w:rPr>
          <w:rFonts w:ascii="Century Gothic" w:hAnsi="Century Gothic"/>
        </w:rPr>
      </w:pPr>
      <w:r w:rsidRPr="00CD6A04">
        <w:rPr>
          <w:rFonts w:ascii="Century Gothic" w:hAnsi="Century Gothic"/>
          <w:color w:val="221E1F"/>
        </w:rPr>
        <w:t xml:space="preserve">• </w:t>
      </w:r>
      <w:r w:rsidRPr="00CD6A04">
        <w:rPr>
          <w:rFonts w:ascii="Century Gothic" w:hAnsi="Century Gothic"/>
          <w:i/>
          <w:color w:val="221E1F"/>
        </w:rPr>
        <w:t xml:space="preserve">Unaffordable housing costs </w:t>
      </w:r>
      <w:r w:rsidRPr="00CD6A04">
        <w:rPr>
          <w:rFonts w:ascii="Century Gothic" w:hAnsi="Century Gothic"/>
          <w:color w:val="221E1F"/>
        </w:rPr>
        <w:t>reduce the income that a household has available for nutritious food and necessary health care expenses, as well causes stress, residential instability, and crowding.</w:t>
      </w:r>
    </w:p>
    <w:p w:rsidR="00374BED" w:rsidRPr="00CD6A04" w:rsidRDefault="00504785" w:rsidP="0049756C">
      <w:pPr>
        <w:spacing w:after="240" w:line="288" w:lineRule="auto"/>
        <w:ind w:left="720"/>
        <w:rPr>
          <w:rFonts w:ascii="Century Gothic" w:hAnsi="Century Gothic"/>
        </w:rPr>
      </w:pPr>
      <w:r w:rsidRPr="00CD6A04">
        <w:rPr>
          <w:rFonts w:ascii="Century Gothic" w:hAnsi="Century Gothic"/>
          <w:color w:val="221E1F"/>
        </w:rPr>
        <w:t xml:space="preserve">• </w:t>
      </w:r>
      <w:r w:rsidRPr="00CD6A04">
        <w:rPr>
          <w:rFonts w:ascii="Century Gothic" w:hAnsi="Century Gothic"/>
          <w:i/>
          <w:color w:val="221E1F"/>
        </w:rPr>
        <w:t xml:space="preserve">Neighborhood location and physical attributes </w:t>
      </w:r>
      <w:r w:rsidRPr="00CD6A04">
        <w:rPr>
          <w:rFonts w:ascii="Century Gothic" w:hAnsi="Century Gothic"/>
          <w:color w:val="221E1F"/>
        </w:rPr>
        <w:t>facilitate (or impair) health through built environment, like walkability and parks; proximity to environmental hazards; and access to basic needs, such as public transportation and jobs, healthy food.</w:t>
      </w:r>
    </w:p>
    <w:p w:rsidR="00374BED" w:rsidRPr="00CD6A04" w:rsidRDefault="00504785" w:rsidP="0049756C">
      <w:pPr>
        <w:spacing w:after="240" w:line="288" w:lineRule="auto"/>
        <w:ind w:left="720"/>
        <w:rPr>
          <w:rFonts w:ascii="Century Gothic" w:hAnsi="Century Gothic"/>
        </w:rPr>
      </w:pPr>
      <w:r w:rsidRPr="00CD6A04">
        <w:rPr>
          <w:rFonts w:ascii="Century Gothic" w:hAnsi="Century Gothic"/>
          <w:color w:val="221E1F"/>
        </w:rPr>
        <w:t xml:space="preserve">• </w:t>
      </w:r>
      <w:r w:rsidRPr="00CD6A04">
        <w:rPr>
          <w:rFonts w:ascii="Century Gothic" w:hAnsi="Century Gothic"/>
          <w:i/>
          <w:color w:val="221E1F"/>
        </w:rPr>
        <w:t>Social and community attributes</w:t>
      </w:r>
      <w:r w:rsidRPr="00CD6A04">
        <w:rPr>
          <w:rFonts w:ascii="Century Gothic" w:hAnsi="Century Gothic"/>
          <w:color w:val="221E1F"/>
        </w:rPr>
        <w:t>, such as domestic and neighborhood violence, racial segregation, and the concentration of poverty, cause personal stress and can lead to and exacerbate poor neighborhood conditions.</w:t>
      </w:r>
    </w:p>
    <w:p w:rsidR="00374BED" w:rsidRPr="00CD6A04" w:rsidRDefault="00504785" w:rsidP="0049756C">
      <w:pPr>
        <w:spacing w:after="240" w:line="288" w:lineRule="auto"/>
        <w:rPr>
          <w:rFonts w:ascii="Century Gothic" w:hAnsi="Century Gothic"/>
        </w:rPr>
      </w:pPr>
      <w:r w:rsidRPr="00CD6A04">
        <w:rPr>
          <w:rFonts w:ascii="Century Gothic" w:hAnsi="Century Gothic"/>
        </w:rPr>
        <w:t>NNIP partners have assembled neighborhood data, performed analysis, and engaged stakeholders in all of these areas of housing and neighborhood conditions, but not always with the explicit tie to residents’ health. Communities are recognizing that we need to focus on the upstream social determinants of health, not just health care access or health problems. The panelists will share how they have been using data to facilitate conversations and action across the health and housing and community development sectors, particularly to highlight the needs of low-income residents and neighborhoods.</w:t>
      </w:r>
    </w:p>
    <w:p w:rsidR="00374BED" w:rsidRPr="00CD6A04" w:rsidRDefault="00504785" w:rsidP="0049756C">
      <w:pPr>
        <w:spacing w:after="240" w:line="288" w:lineRule="auto"/>
        <w:rPr>
          <w:rFonts w:ascii="Century Gothic" w:hAnsi="Century Gothic"/>
        </w:rPr>
      </w:pPr>
      <w:r w:rsidRPr="00CD6A04">
        <w:rPr>
          <w:rFonts w:ascii="Century Gothic" w:hAnsi="Century Gothic"/>
          <w:b/>
          <w:i/>
        </w:rPr>
        <w:t>This session will promote a common understanding of the housing and neighborhood drivers of health outcomes, as illustrated by the three partners that are using data to encourage coordination across sectors.  We hope to spur ideas for the partners about what role their organizations can play locally and about potential cross-site projects.</w:t>
      </w:r>
    </w:p>
    <w:p w:rsidR="00374BED" w:rsidRPr="00CD6A04" w:rsidRDefault="00504785" w:rsidP="0049756C">
      <w:pPr>
        <w:spacing w:after="240" w:line="288" w:lineRule="auto"/>
        <w:rPr>
          <w:rFonts w:ascii="Century Gothic" w:hAnsi="Century Gothic"/>
        </w:rPr>
      </w:pPr>
      <w:r w:rsidRPr="00CD6A04">
        <w:rPr>
          <w:rFonts w:ascii="Century Gothic" w:hAnsi="Century Gothic"/>
        </w:rPr>
        <w:lastRenderedPageBreak/>
        <w:t>Elizabeth Sobel-Blum from the Federal Reserve Bank of Dallas will introduce the session by explaining the social determinants of health and reflecting on national conversations to bridge the health and community development organizations.</w:t>
      </w:r>
    </w:p>
    <w:p w:rsidR="00374BED" w:rsidRPr="00CD6A04" w:rsidRDefault="00504785" w:rsidP="0049756C">
      <w:pPr>
        <w:spacing w:after="240" w:line="288" w:lineRule="auto"/>
        <w:rPr>
          <w:rFonts w:ascii="Century Gothic" w:hAnsi="Century Gothic"/>
        </w:rPr>
      </w:pPr>
      <w:r w:rsidRPr="00CD6A04">
        <w:rPr>
          <w:rFonts w:ascii="Century Gothic" w:hAnsi="Century Gothic"/>
        </w:rPr>
        <w:t>Joel Stewart from Providence Plan will share how they have been demonstrating the ties between lead poisoning and child wellbeing and motivating more effective enforcement and abatement strategies.</w:t>
      </w:r>
    </w:p>
    <w:p w:rsidR="00374BED" w:rsidRPr="00CD6A04" w:rsidRDefault="00504785" w:rsidP="0049756C">
      <w:pPr>
        <w:spacing w:after="240" w:line="288" w:lineRule="auto"/>
        <w:rPr>
          <w:rFonts w:ascii="Century Gothic" w:hAnsi="Century Gothic"/>
        </w:rPr>
      </w:pPr>
      <w:r w:rsidRPr="00CD6A04">
        <w:rPr>
          <w:rFonts w:ascii="Century Gothic" w:hAnsi="Century Gothic"/>
        </w:rPr>
        <w:t>Meg Merrick from Portland State University will describe how the Regional Equity Atlas used innovative measures and compelling visualizations to advance the community’s understanding of the connection of health outcomes to access to opportunities and the need to view all policies through a health lens..</w:t>
      </w:r>
    </w:p>
    <w:p w:rsidR="00374BED" w:rsidRPr="00CD6A04" w:rsidRDefault="00504785" w:rsidP="0049756C">
      <w:pPr>
        <w:spacing w:after="240" w:line="288" w:lineRule="auto"/>
        <w:rPr>
          <w:rFonts w:ascii="Century Gothic" w:hAnsi="Century Gothic"/>
        </w:rPr>
      </w:pPr>
      <w:r w:rsidRPr="00CD6A04">
        <w:rPr>
          <w:rFonts w:ascii="Century Gothic" w:hAnsi="Century Gothic"/>
        </w:rPr>
        <w:t xml:space="preserve">Susan Millea from Children's Optimal Health in Austin will discuss the new initiative Partners in Austin Transforming Health (PATH) which brings together professionals across the health, education, planning, and social service sectors along with community groups </w:t>
      </w:r>
    </w:p>
    <w:p w:rsidR="00374BED" w:rsidRPr="00CD6A04" w:rsidRDefault="00504785" w:rsidP="0049756C">
      <w:pPr>
        <w:spacing w:after="240" w:line="288" w:lineRule="auto"/>
        <w:rPr>
          <w:rFonts w:ascii="Century Gothic" w:hAnsi="Century Gothic"/>
        </w:rPr>
      </w:pPr>
      <w:r w:rsidRPr="00CD6A04">
        <w:rPr>
          <w:rFonts w:ascii="Century Gothic" w:hAnsi="Century Gothic"/>
        </w:rPr>
        <w:t>We’ll then move to a couple moderator questions before opening it up for plenary discussion.</w:t>
      </w:r>
    </w:p>
    <w:p w:rsidR="00374BED" w:rsidRPr="0049756C" w:rsidRDefault="0049756C" w:rsidP="0049756C">
      <w:pPr>
        <w:spacing w:after="240" w:line="288" w:lineRule="auto"/>
        <w:rPr>
          <w:rFonts w:ascii="Century Gothic" w:hAnsi="Century Gothic"/>
          <w:b/>
        </w:rPr>
      </w:pPr>
      <w:r w:rsidRPr="0049756C">
        <w:rPr>
          <w:rFonts w:ascii="Century Gothic" w:hAnsi="Century Gothic"/>
          <w:b/>
        </w:rPr>
        <w:t>Discussion</w:t>
      </w:r>
      <w:r w:rsidR="00CB0B5C">
        <w:rPr>
          <w:rFonts w:ascii="Century Gothic" w:hAnsi="Century Gothic"/>
          <w:b/>
        </w:rPr>
        <w:t>:</w:t>
      </w:r>
      <w:bookmarkStart w:id="0" w:name="_GoBack"/>
      <w:bookmarkEnd w:id="0"/>
    </w:p>
    <w:p w:rsidR="00374BED" w:rsidRPr="0049756C" w:rsidRDefault="00504785" w:rsidP="0049756C">
      <w:pPr>
        <w:pStyle w:val="ListParagraph"/>
        <w:numPr>
          <w:ilvl w:val="0"/>
          <w:numId w:val="1"/>
        </w:numPr>
        <w:spacing w:after="240" w:line="288" w:lineRule="auto"/>
        <w:rPr>
          <w:rFonts w:ascii="Century Gothic" w:hAnsi="Century Gothic"/>
        </w:rPr>
      </w:pPr>
      <w:r w:rsidRPr="0049756C">
        <w:rPr>
          <w:rFonts w:ascii="Century Gothic" w:hAnsi="Century Gothic"/>
        </w:rPr>
        <w:t>What are the local partner and cross-site opportunities and challenges in working at the intersection of public health and neighborhood development?</w:t>
      </w:r>
    </w:p>
    <w:p w:rsidR="00374BED" w:rsidRPr="0049756C" w:rsidRDefault="00504785" w:rsidP="0049756C">
      <w:pPr>
        <w:pStyle w:val="ListParagraph"/>
        <w:numPr>
          <w:ilvl w:val="0"/>
          <w:numId w:val="1"/>
        </w:numPr>
        <w:spacing w:after="240" w:line="288" w:lineRule="auto"/>
        <w:rPr>
          <w:rFonts w:ascii="Century Gothic" w:hAnsi="Century Gothic"/>
        </w:rPr>
      </w:pPr>
      <w:r w:rsidRPr="0049756C">
        <w:rPr>
          <w:rFonts w:ascii="Century Gothic" w:hAnsi="Century Gothic"/>
        </w:rPr>
        <w:t>How have organizations been able to use information about health outcomes and neighborhood built environment to advocate for changes in the built environment that can change long term health?</w:t>
      </w:r>
    </w:p>
    <w:p w:rsidR="00374BED" w:rsidRPr="0049756C" w:rsidRDefault="00504785" w:rsidP="0049756C">
      <w:pPr>
        <w:pStyle w:val="ListParagraph"/>
        <w:numPr>
          <w:ilvl w:val="0"/>
          <w:numId w:val="1"/>
        </w:numPr>
        <w:spacing w:after="240" w:line="288" w:lineRule="auto"/>
        <w:rPr>
          <w:rFonts w:ascii="Century Gothic" w:hAnsi="Century Gothic"/>
        </w:rPr>
      </w:pPr>
      <w:r w:rsidRPr="0049756C">
        <w:rPr>
          <w:rFonts w:ascii="Century Gothic" w:hAnsi="Century Gothic"/>
        </w:rPr>
        <w:t>What are the challenges to gathering and displaying health outcome data? How are they best used to display connections to housing/neighborhood conditions and communicate to non-health audiences?</w:t>
      </w:r>
    </w:p>
    <w:p w:rsidR="00374BED" w:rsidRPr="0049756C" w:rsidRDefault="00504785" w:rsidP="0049756C">
      <w:pPr>
        <w:spacing w:after="240" w:line="288" w:lineRule="auto"/>
        <w:rPr>
          <w:rFonts w:ascii="Century Gothic" w:hAnsi="Century Gothic"/>
          <w:b/>
        </w:rPr>
      </w:pPr>
      <w:r w:rsidRPr="0049756C">
        <w:rPr>
          <w:rFonts w:ascii="Century Gothic" w:hAnsi="Century Gothic"/>
          <w:b/>
        </w:rPr>
        <w:t>Panelist Resources</w:t>
      </w:r>
    </w:p>
    <w:p w:rsidR="00374BED" w:rsidRPr="00CD6A04" w:rsidRDefault="00504785" w:rsidP="0049756C">
      <w:pPr>
        <w:spacing w:after="240" w:line="288" w:lineRule="auto"/>
        <w:rPr>
          <w:rFonts w:ascii="Century Gothic" w:hAnsi="Century Gothic"/>
        </w:rPr>
      </w:pPr>
      <w:r w:rsidRPr="00CD6A04">
        <w:rPr>
          <w:rFonts w:ascii="Century Gothic" w:hAnsi="Century Gothic"/>
        </w:rPr>
        <w:t xml:space="preserve">Healthy Communities: The Intersection of Community Development and Health </w:t>
      </w:r>
      <w:hyperlink r:id="rId7">
        <w:r w:rsidRPr="0049756C">
          <w:rPr>
            <w:rFonts w:ascii="Century Gothic" w:hAnsi="Century Gothic"/>
            <w:color w:val="0000FF"/>
            <w:u w:val="single"/>
          </w:rPr>
          <w:t>http://www.dallasfed.org/cd/healthy/</w:t>
        </w:r>
      </w:hyperlink>
    </w:p>
    <w:p w:rsidR="00374BED" w:rsidRPr="00CD6A04" w:rsidRDefault="00504785" w:rsidP="0049756C">
      <w:pPr>
        <w:spacing w:after="240" w:line="288" w:lineRule="auto"/>
        <w:rPr>
          <w:rFonts w:ascii="Century Gothic" w:hAnsi="Century Gothic"/>
        </w:rPr>
      </w:pPr>
      <w:r w:rsidRPr="00CD6A04">
        <w:rPr>
          <w:rFonts w:ascii="Century Gothic" w:hAnsi="Century Gothic"/>
        </w:rPr>
        <w:lastRenderedPageBreak/>
        <w:t>Portland Regional Equity Atlas</w:t>
      </w:r>
      <w:r w:rsidR="0049756C">
        <w:rPr>
          <w:rFonts w:ascii="Century Gothic" w:hAnsi="Century Gothic"/>
        </w:rPr>
        <w:br/>
      </w:r>
      <w:hyperlink r:id="rId8">
        <w:r w:rsidRPr="0049756C">
          <w:rPr>
            <w:rFonts w:ascii="Century Gothic" w:hAnsi="Century Gothic"/>
            <w:color w:val="0000FF"/>
            <w:u w:val="single"/>
          </w:rPr>
          <w:t>http://clfuture.org/equity-atlas</w:t>
        </w:r>
      </w:hyperlink>
    </w:p>
    <w:p w:rsidR="00374BED" w:rsidRPr="00136155" w:rsidRDefault="00504785" w:rsidP="0049756C">
      <w:pPr>
        <w:spacing w:after="240" w:line="288" w:lineRule="auto"/>
        <w:rPr>
          <w:rFonts w:ascii="Century Gothic" w:hAnsi="Century Gothic"/>
        </w:rPr>
      </w:pPr>
      <w:r w:rsidRPr="00CD6A04">
        <w:rPr>
          <w:rFonts w:ascii="Century Gothic" w:hAnsi="Century Gothic"/>
        </w:rPr>
        <w:t>Partners in Austin Transforming Health (PATH)</w:t>
      </w:r>
      <w:r w:rsidR="0049756C">
        <w:rPr>
          <w:rFonts w:ascii="Century Gothic" w:hAnsi="Century Gothic"/>
        </w:rPr>
        <w:br/>
      </w:r>
      <w:hyperlink r:id="rId9">
        <w:r w:rsidRPr="0049756C">
          <w:rPr>
            <w:rFonts w:ascii="Century Gothic" w:hAnsi="Century Gothic"/>
            <w:color w:val="0000FF"/>
            <w:u w:val="single"/>
          </w:rPr>
          <w:t>http://centexpath.org/</w:t>
        </w:r>
      </w:hyperlink>
    </w:p>
    <w:sectPr w:rsidR="00374BED" w:rsidRPr="001361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51681"/>
    <w:multiLevelType w:val="hybridMultilevel"/>
    <w:tmpl w:val="F9DE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374BED"/>
    <w:rsid w:val="00136155"/>
    <w:rsid w:val="002A0ACA"/>
    <w:rsid w:val="00374BED"/>
    <w:rsid w:val="0049756C"/>
    <w:rsid w:val="00504785"/>
    <w:rsid w:val="00CB0B5C"/>
    <w:rsid w:val="00CD6A04"/>
    <w:rsid w:val="00FE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47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85"/>
    <w:rPr>
      <w:rFonts w:ascii="Tahoma" w:hAnsi="Tahoma" w:cs="Tahoma"/>
      <w:sz w:val="16"/>
      <w:szCs w:val="16"/>
    </w:rPr>
  </w:style>
  <w:style w:type="paragraph" w:styleId="ListParagraph">
    <w:name w:val="List Paragraph"/>
    <w:basedOn w:val="Normal"/>
    <w:uiPriority w:val="34"/>
    <w:qFormat/>
    <w:rsid w:val="0049756C"/>
    <w:pPr>
      <w:ind w:left="720"/>
      <w:contextualSpacing/>
    </w:pPr>
  </w:style>
  <w:style w:type="character" w:styleId="Hyperlink">
    <w:name w:val="Hyperlink"/>
    <w:basedOn w:val="DefaultParagraphFont"/>
    <w:uiPriority w:val="99"/>
    <w:unhideWhenUsed/>
    <w:rsid w:val="001361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47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85"/>
    <w:rPr>
      <w:rFonts w:ascii="Tahoma" w:hAnsi="Tahoma" w:cs="Tahoma"/>
      <w:sz w:val="16"/>
      <w:szCs w:val="16"/>
    </w:rPr>
  </w:style>
  <w:style w:type="paragraph" w:styleId="ListParagraph">
    <w:name w:val="List Paragraph"/>
    <w:basedOn w:val="Normal"/>
    <w:uiPriority w:val="34"/>
    <w:qFormat/>
    <w:rsid w:val="0049756C"/>
    <w:pPr>
      <w:ind w:left="720"/>
      <w:contextualSpacing/>
    </w:pPr>
  </w:style>
  <w:style w:type="character" w:styleId="Hyperlink">
    <w:name w:val="Hyperlink"/>
    <w:basedOn w:val="DefaultParagraphFont"/>
    <w:uiPriority w:val="99"/>
    <w:unhideWhenUsed/>
    <w:rsid w:val="001361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lfuture.org/equity-atlas" TargetMode="External"/><Relationship Id="rId3" Type="http://schemas.microsoft.com/office/2007/relationships/stylesWithEffects" Target="stylesWithEffects.xml"/><Relationship Id="rId7" Type="http://schemas.openxmlformats.org/officeDocument/2006/relationships/hyperlink" Target="http://www.dallasfed.org/cd/healt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hh.org/Portals/0/Contents/Health%20&amp;%20Housing%20New%20Opportunities_final.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ntexpa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Hendey, Leah</dc:creator>
  <cp:lastModifiedBy>Pettit, Kathryn</cp:lastModifiedBy>
  <cp:revision>7</cp:revision>
  <dcterms:created xsi:type="dcterms:W3CDTF">2015-10-13T22:40:00Z</dcterms:created>
  <dcterms:modified xsi:type="dcterms:W3CDTF">2015-10-14T15:13:00Z</dcterms:modified>
</cp:coreProperties>
</file>