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B73" w:rsidRPr="00C158D5" w:rsidRDefault="00BF7B73" w:rsidP="00BF7B73">
      <w:pPr>
        <w:spacing w:after="240" w:line="288" w:lineRule="auto"/>
        <w:contextualSpacing/>
        <w:rPr>
          <w:rFonts w:ascii="Century Gothic" w:hAnsi="Century Gothic" w:cs="Arial"/>
          <w:b/>
          <w:sz w:val="32"/>
          <w:szCs w:val="32"/>
        </w:rPr>
      </w:pPr>
      <w:r>
        <w:rPr>
          <w:rFonts w:ascii="Century Gothic" w:hAnsi="Century Gothic" w:cs="Arial"/>
          <w:b/>
          <w:sz w:val="32"/>
          <w:szCs w:val="32"/>
        </w:rPr>
        <w:t>Ignite Showcase: Part I</w:t>
      </w:r>
    </w:p>
    <w:p w:rsidR="00BF7B73" w:rsidRPr="00C006F5" w:rsidRDefault="00BF7B73" w:rsidP="00BF7B73">
      <w:pPr>
        <w:spacing w:after="240" w:line="288" w:lineRule="auto"/>
        <w:contextualSpacing/>
        <w:rPr>
          <w:rFonts w:ascii="Century Gothic" w:hAnsi="Century Gothic" w:cs="Arial"/>
          <w:sz w:val="24"/>
          <w:szCs w:val="24"/>
        </w:rPr>
      </w:pPr>
      <w:r>
        <w:rPr>
          <w:rFonts w:ascii="Century Gothic" w:hAnsi="Century Gothic" w:cs="Arial"/>
          <w:sz w:val="24"/>
          <w:szCs w:val="24"/>
        </w:rPr>
        <w:t>Thursday</w:t>
      </w:r>
      <w:r w:rsidRPr="00C006F5">
        <w:rPr>
          <w:rFonts w:ascii="Century Gothic" w:hAnsi="Century Gothic" w:cs="Arial"/>
          <w:sz w:val="24"/>
          <w:szCs w:val="24"/>
        </w:rPr>
        <w:t xml:space="preserve"> morning</w:t>
      </w:r>
      <w:r>
        <w:rPr>
          <w:rFonts w:ascii="Century Gothic" w:hAnsi="Century Gothic" w:cs="Arial"/>
          <w:sz w:val="24"/>
          <w:szCs w:val="24"/>
        </w:rPr>
        <w:t>. 10:30 a.m. – 11:00 a.m.</w:t>
      </w:r>
    </w:p>
    <w:p w:rsidR="00BF7B73" w:rsidRPr="00AB248E" w:rsidRDefault="00BF7B73" w:rsidP="00BF7B73">
      <w:pPr>
        <w:spacing w:after="240" w:line="288" w:lineRule="auto"/>
        <w:contextualSpacing/>
        <w:rPr>
          <w:rFonts w:ascii="Century Gothic" w:hAnsi="Century Gothic" w:cs="Arial"/>
          <w:b/>
          <w:sz w:val="24"/>
          <w:szCs w:val="24"/>
        </w:rPr>
      </w:pPr>
    </w:p>
    <w:p w:rsidR="00BF7B73" w:rsidRPr="003521D2" w:rsidRDefault="00BF7B73" w:rsidP="003521D2">
      <w:pPr>
        <w:spacing w:after="240" w:line="288" w:lineRule="auto"/>
        <w:contextualSpacing/>
        <w:rPr>
          <w:rFonts w:ascii="Century Gothic" w:hAnsi="Century Gothic"/>
        </w:rPr>
      </w:pPr>
      <w:r w:rsidRPr="003521D2">
        <w:rPr>
          <w:rFonts w:ascii="Century Gothic" w:hAnsi="Century Gothic"/>
        </w:rPr>
        <w:t>These 5-minute presentations give a lightning-quick overview of a project or technology.</w:t>
      </w:r>
    </w:p>
    <w:p w:rsidR="00BF7B73" w:rsidRPr="003521D2" w:rsidRDefault="00BF7B73" w:rsidP="003521D2">
      <w:pPr>
        <w:spacing w:after="240" w:line="288" w:lineRule="auto"/>
        <w:contextualSpacing/>
        <w:rPr>
          <w:sz w:val="24"/>
        </w:rPr>
      </w:pPr>
    </w:p>
    <w:p w:rsidR="00BF7B73" w:rsidRPr="003521D2" w:rsidRDefault="00BF7B73" w:rsidP="003521D2">
      <w:pPr>
        <w:spacing w:after="240" w:line="288" w:lineRule="auto"/>
        <w:contextualSpacing/>
        <w:rPr>
          <w:rFonts w:ascii="Century Gothic" w:hAnsi="Century Gothic"/>
          <w:b/>
        </w:rPr>
      </w:pPr>
      <w:r w:rsidRPr="003521D2">
        <w:rPr>
          <w:rFonts w:ascii="Century Gothic" w:hAnsi="Century Gothic"/>
          <w:b/>
        </w:rPr>
        <w:t>Positive-Sum Games:  Using a Summer Internship Program to Catalyze Community Impact</w:t>
      </w:r>
      <w:r w:rsidRPr="003521D2">
        <w:rPr>
          <w:rFonts w:ascii="Century Gothic" w:hAnsi="Century Gothic"/>
        </w:rPr>
        <w:t xml:space="preserve"> </w:t>
      </w:r>
      <w:r w:rsidRPr="003521D2">
        <w:rPr>
          <w:rFonts w:ascii="Century Gothic" w:hAnsi="Century Gothic"/>
        </w:rPr>
        <w:br/>
      </w:r>
      <w:r w:rsidRPr="003521D2">
        <w:rPr>
          <w:rFonts w:ascii="Century Gothic" w:hAnsi="Century Gothic"/>
          <w:b/>
        </w:rPr>
        <w:t>Noah Urban,</w:t>
      </w:r>
      <w:r w:rsidRPr="003521D2">
        <w:rPr>
          <w:rFonts w:ascii="Century Gothic" w:hAnsi="Century Gothic"/>
        </w:rPr>
        <w:t xml:space="preserve"> Data Driven Detroit </w:t>
      </w:r>
    </w:p>
    <w:p w:rsidR="00BF7B73" w:rsidRPr="003521D2" w:rsidRDefault="00BF7B73" w:rsidP="003521D2">
      <w:pPr>
        <w:spacing w:after="240" w:line="288" w:lineRule="auto"/>
        <w:rPr>
          <w:rFonts w:ascii="Century Gothic" w:hAnsi="Century Gothic"/>
        </w:rPr>
      </w:pPr>
      <w:r w:rsidRPr="003521D2">
        <w:rPr>
          <w:rFonts w:ascii="Century Gothic" w:hAnsi="Century Gothic"/>
        </w:rPr>
        <w:t xml:space="preserve">As a highly-visible organization in the Detroit community, Data Driven Detroit (D3) has often received requests from students interested in interning with us, but has rarely had the capacity to provide the sort of mentorship and opportunities that are so important to ensuring a valuable experience.  This summer, D3 piloted an internship program in partnership with the Max M. and Marjorie S. Fisher Foundation to address these challenges </w:t>
      </w:r>
      <w:r w:rsidR="00C7266F" w:rsidRPr="003521D2">
        <w:rPr>
          <w:rFonts w:ascii="Century Gothic" w:hAnsi="Century Gothic"/>
        </w:rPr>
        <w:t>using</w:t>
      </w:r>
      <w:r w:rsidRPr="003521D2">
        <w:rPr>
          <w:rFonts w:ascii="Century Gothic" w:hAnsi="Century Gothic"/>
        </w:rPr>
        <w:t xml:space="preserve"> a community-based approach.  The program was designed </w:t>
      </w:r>
      <w:r w:rsidR="00C7266F" w:rsidRPr="003521D2">
        <w:rPr>
          <w:rFonts w:ascii="Century Gothic" w:hAnsi="Century Gothic"/>
        </w:rPr>
        <w:t>to</w:t>
      </w:r>
      <w:r w:rsidRPr="003521D2">
        <w:rPr>
          <w:rFonts w:ascii="Century Gothic" w:hAnsi="Century Gothic"/>
        </w:rPr>
        <w:t xml:space="preserve"> maximiz</w:t>
      </w:r>
      <w:r w:rsidR="00C7266F" w:rsidRPr="003521D2">
        <w:rPr>
          <w:rFonts w:ascii="Century Gothic" w:hAnsi="Century Gothic"/>
        </w:rPr>
        <w:t>e</w:t>
      </w:r>
      <w:r w:rsidRPr="003521D2">
        <w:rPr>
          <w:rFonts w:ascii="Century Gothic" w:hAnsi="Century Gothic"/>
        </w:rPr>
        <w:t xml:space="preserve"> positive outcomes for the funder, D3, the interns, and community organizations in Detroit.  Its distinguishing factor was that when applying, the interns were required to propose community-focused analysis and outreach projects.  The selected candidates then executed these projects as a core component of their internship work.  The structure of the program also enabled D3 to make considerable investments in training the interns, and the lessons learned through these sessions are helping to lay the foundation for expanding future data engagement work.</w:t>
      </w:r>
    </w:p>
    <w:p w:rsidR="00BF7B73" w:rsidRPr="003521D2" w:rsidRDefault="00BF7B73" w:rsidP="003521D2">
      <w:pPr>
        <w:spacing w:after="240" w:line="288" w:lineRule="auto"/>
        <w:rPr>
          <w:rFonts w:ascii="Century Gothic" w:hAnsi="Century Gothic"/>
        </w:rPr>
      </w:pPr>
    </w:p>
    <w:p w:rsidR="00BF7B73" w:rsidRPr="003521D2" w:rsidRDefault="00C7266F" w:rsidP="003521D2">
      <w:pPr>
        <w:spacing w:after="240" w:line="288" w:lineRule="auto"/>
        <w:rPr>
          <w:rFonts w:ascii="Century Gothic" w:hAnsi="Century Gothic"/>
        </w:rPr>
      </w:pPr>
      <w:r w:rsidRPr="003521D2">
        <w:rPr>
          <w:rFonts w:ascii="Century Gothic" w:hAnsi="Century Gothic"/>
          <w:b/>
        </w:rPr>
        <w:t>Using the Quality of Life Explorer’s Build-Your-Own-Geography Capability to Explore School Redistricting</w:t>
      </w:r>
      <w:r w:rsidRPr="003521D2">
        <w:rPr>
          <w:rFonts w:ascii="Century Gothic" w:hAnsi="Century Gothic"/>
        </w:rPr>
        <w:br/>
      </w:r>
      <w:r w:rsidRPr="003521D2">
        <w:rPr>
          <w:rFonts w:ascii="Century Gothic" w:hAnsi="Century Gothic"/>
          <w:b/>
        </w:rPr>
        <w:t>Andrew Bowen,</w:t>
      </w:r>
      <w:r w:rsidRPr="003521D2">
        <w:rPr>
          <w:rFonts w:ascii="Century Gothic" w:hAnsi="Century Gothic"/>
        </w:rPr>
        <w:t xml:space="preserve"> City of Charlotte</w:t>
      </w:r>
      <w:r w:rsidRPr="003521D2">
        <w:rPr>
          <w:rFonts w:ascii="Century Gothic" w:hAnsi="Century Gothic"/>
        </w:rPr>
        <w:br/>
      </w:r>
      <w:r w:rsidR="00BF7B73" w:rsidRPr="003521D2">
        <w:rPr>
          <w:rFonts w:ascii="Century Gothic" w:hAnsi="Century Gothic"/>
        </w:rPr>
        <w:t>Charlotte-Mecklenburg’s new Quality of Life Explorer has updated data and an exciting new feature: the ability to build custom geographies. Neighborhood Profile Areas, the units of analysis, are able to be aggregated to approximate larger areas, such as zip codes, city council districts and school districts. Charlotte-Mecklenburg Schools is beginning a review of its school assignment plans, a topic of interest for students and parents as well as local non-profit task forces. Examining the makeup of potential school districts is easy with the Quality of Life Explorer’s data and functionality.  Megan Swindal, Providence – Re-branding</w:t>
      </w:r>
    </w:p>
    <w:p w:rsidR="00616E33" w:rsidRDefault="00616E33">
      <w:pPr>
        <w:rPr>
          <w:rFonts w:ascii="Century Gothic" w:hAnsi="Century Gothic"/>
          <w:b/>
        </w:rPr>
      </w:pPr>
      <w:r>
        <w:rPr>
          <w:rFonts w:ascii="Century Gothic" w:hAnsi="Century Gothic"/>
          <w:b/>
        </w:rPr>
        <w:br w:type="page"/>
      </w:r>
    </w:p>
    <w:p w:rsidR="00BF7B73" w:rsidRPr="003521D2" w:rsidRDefault="00C7266F" w:rsidP="003521D2">
      <w:pPr>
        <w:spacing w:after="240" w:line="288" w:lineRule="auto"/>
        <w:rPr>
          <w:rFonts w:ascii="Century Gothic" w:hAnsi="Century Gothic"/>
        </w:rPr>
      </w:pPr>
      <w:r w:rsidRPr="003521D2">
        <w:rPr>
          <w:rFonts w:ascii="Century Gothic" w:hAnsi="Century Gothic"/>
          <w:b/>
        </w:rPr>
        <w:t>Carving out a New Identity: Rebranding InfoGroup</w:t>
      </w:r>
      <w:r w:rsidRPr="003521D2">
        <w:rPr>
          <w:rFonts w:ascii="Century Gothic" w:hAnsi="Century Gothic"/>
        </w:rPr>
        <w:t xml:space="preserve"> </w:t>
      </w:r>
      <w:r w:rsidRPr="003521D2">
        <w:rPr>
          <w:rFonts w:ascii="Century Gothic" w:hAnsi="Century Gothic"/>
        </w:rPr>
        <w:br/>
      </w:r>
      <w:r w:rsidRPr="003521D2">
        <w:rPr>
          <w:rFonts w:ascii="Century Gothic" w:hAnsi="Century Gothic"/>
          <w:b/>
        </w:rPr>
        <w:t>Megan Swindal,</w:t>
      </w:r>
      <w:r w:rsidRPr="003521D2">
        <w:rPr>
          <w:rFonts w:ascii="Century Gothic" w:hAnsi="Century Gothic"/>
        </w:rPr>
        <w:t xml:space="preserve"> ProvPlan</w:t>
      </w:r>
      <w:r w:rsidRPr="003521D2">
        <w:rPr>
          <w:rFonts w:ascii="Century Gothic" w:hAnsi="Century Gothic"/>
        </w:rPr>
        <w:br/>
        <w:t>Many</w:t>
      </w:r>
      <w:r w:rsidR="00BF7B73" w:rsidRPr="003521D2">
        <w:rPr>
          <w:rFonts w:ascii="Century Gothic" w:hAnsi="Century Gothic"/>
        </w:rPr>
        <w:t xml:space="preserve"> NNIP partners have changed or seriously considered changing their name or </w:t>
      </w:r>
      <w:r w:rsidR="00BF7B73" w:rsidRPr="003521D2">
        <w:rPr>
          <w:rFonts w:ascii="Century Gothic" w:hAnsi="Century Gothic"/>
        </w:rPr>
        <w:lastRenderedPageBreak/>
        <w:t>organizational home in the last 5 years. We think our experiences with re-branding are worth sharing for other partners whose identity or mission may be evolving. We’ll talk about some of the pros and cons involved with re-branding and dive a bit more deeply into our strategy for pulling it off successfully. Fun graphics and a visit to the cutting-room floor included.</w:t>
      </w:r>
    </w:p>
    <w:p w:rsidR="00BF7B73" w:rsidRPr="003521D2" w:rsidRDefault="00C7266F" w:rsidP="003521D2">
      <w:pPr>
        <w:spacing w:after="240" w:line="288" w:lineRule="auto"/>
        <w:rPr>
          <w:rFonts w:ascii="Century Gothic" w:hAnsi="Century Gothic"/>
        </w:rPr>
      </w:pPr>
      <w:r w:rsidRPr="003521D2">
        <w:rPr>
          <w:rFonts w:ascii="Century Gothic" w:hAnsi="Century Gothic"/>
          <w:b/>
        </w:rPr>
        <w:t>What We Do, Where We’re Going… Data-wise</w:t>
      </w:r>
      <w:r w:rsidRPr="003521D2">
        <w:rPr>
          <w:rFonts w:ascii="Century Gothic" w:hAnsi="Century Gothic"/>
        </w:rPr>
        <w:br/>
      </w:r>
      <w:r w:rsidRPr="003521D2">
        <w:rPr>
          <w:rFonts w:ascii="Century Gothic" w:hAnsi="Century Gothic"/>
          <w:b/>
        </w:rPr>
        <w:t>Lisa Pittman,</w:t>
      </w:r>
      <w:r w:rsidRPr="003521D2">
        <w:rPr>
          <w:rFonts w:ascii="Century Gothic" w:hAnsi="Century Gothic"/>
        </w:rPr>
        <w:t xml:space="preserve"> Children’s Trust</w:t>
      </w:r>
      <w:r w:rsidRPr="003521D2">
        <w:rPr>
          <w:rFonts w:ascii="Century Gothic" w:hAnsi="Century Gothic"/>
        </w:rPr>
        <w:br/>
      </w:r>
      <w:r w:rsidR="00BF7B73" w:rsidRPr="003521D2">
        <w:rPr>
          <w:rFonts w:ascii="Century Gothic" w:hAnsi="Century Gothic"/>
        </w:rPr>
        <w:t>What, how and why data is collected, used and shared by The Children’s Trust in Miami-Dade County, Florida. And, where we are headed if the stars align and the attorneys agree!  This is an overview of The Trust’s growing but still limited work with community-specific data and our foray into partnering with other agencies on a child-level integrated data system.</w:t>
      </w:r>
    </w:p>
    <w:p w:rsidR="00BF7B73" w:rsidRPr="003521D2" w:rsidRDefault="00C7266F" w:rsidP="003521D2">
      <w:pPr>
        <w:spacing w:after="240" w:line="288" w:lineRule="auto"/>
        <w:rPr>
          <w:rFonts w:ascii="Century Gothic" w:hAnsi="Century Gothic"/>
        </w:rPr>
      </w:pPr>
      <w:r w:rsidRPr="003521D2">
        <w:rPr>
          <w:rFonts w:ascii="Century Gothic" w:hAnsi="Century Gothic"/>
          <w:b/>
        </w:rPr>
        <w:t>NNIP Data Inventory Analysis</w:t>
      </w:r>
      <w:r w:rsidRPr="003521D2">
        <w:rPr>
          <w:rFonts w:ascii="Century Gothic" w:hAnsi="Century Gothic"/>
        </w:rPr>
        <w:br/>
      </w:r>
      <w:r w:rsidR="00BF7B73" w:rsidRPr="003521D2">
        <w:rPr>
          <w:rFonts w:ascii="Century Gothic" w:hAnsi="Century Gothic"/>
          <w:b/>
        </w:rPr>
        <w:t>Rob Pitingolo,</w:t>
      </w:r>
      <w:r w:rsidRPr="003521D2">
        <w:rPr>
          <w:rFonts w:ascii="Century Gothic" w:hAnsi="Century Gothic"/>
        </w:rPr>
        <w:t xml:space="preserve"> Urban Institute</w:t>
      </w:r>
      <w:r w:rsidR="00BF7B73" w:rsidRPr="003521D2">
        <w:rPr>
          <w:rFonts w:ascii="Century Gothic" w:hAnsi="Century Gothic"/>
        </w:rPr>
        <w:br/>
        <w:t>NNIP HQ recently overhauled the partner data inventory and process. The new inventory is integrated into the NNIP website and was recently updated by partners. At the Denver meeting in 2014, Rob Pitingolo introduced Small-geography Neighborhood Indicator Performance (SNIP), a comprehensive score of partners’ data holdings. Integrating feedback we heard after the introduction of SNIP from the NNIP Executive Committee, Rob has updated the methodology, recalculated the scores for all partners and will present the results in this Ignite.</w:t>
      </w:r>
      <w:bookmarkStart w:id="0" w:name="_GoBack"/>
      <w:bookmarkEnd w:id="0"/>
    </w:p>
    <w:sectPr w:rsidR="00BF7B73" w:rsidRPr="003521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F3E44"/>
    <w:multiLevelType w:val="hybridMultilevel"/>
    <w:tmpl w:val="53183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B73"/>
    <w:rsid w:val="003360F4"/>
    <w:rsid w:val="003521D2"/>
    <w:rsid w:val="00616E33"/>
    <w:rsid w:val="007B5689"/>
    <w:rsid w:val="00A12063"/>
    <w:rsid w:val="00BF7B73"/>
    <w:rsid w:val="00C7266F"/>
    <w:rsid w:val="00EA4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B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B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9B1F4-13C8-4500-A998-5FF6DC1C1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549</Words>
  <Characters>3135</Characters>
  <Application>Microsoft Office Word</Application>
  <DocSecurity>0</DocSecurity>
  <Lines>26</Lines>
  <Paragraphs>7</Paragraphs>
  <ScaleCrop>false</ScaleCrop>
  <Company>Microsoft</Company>
  <LinksUpToDate>false</LinksUpToDate>
  <CharactersWithSpaces>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Abazajian, Katya</dc:creator>
  <cp:lastModifiedBy>Pettit, Kathryn</cp:lastModifiedBy>
  <cp:revision>5</cp:revision>
  <dcterms:created xsi:type="dcterms:W3CDTF">2015-10-13T19:53:00Z</dcterms:created>
  <dcterms:modified xsi:type="dcterms:W3CDTF">2015-10-14T15:04:00Z</dcterms:modified>
</cp:coreProperties>
</file>