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07" w:rsidRPr="00484FB1" w:rsidRDefault="00FA1945" w:rsidP="00484FB1">
      <w:pPr>
        <w:pStyle w:val="Title"/>
        <w:pBdr>
          <w:bottom w:val="none" w:sz="0" w:space="0" w:color="auto"/>
        </w:pBdr>
        <w:rPr>
          <w:b/>
          <w:sz w:val="48"/>
        </w:rPr>
      </w:pPr>
      <w:bookmarkStart w:id="0" w:name="_GoBack"/>
      <w:bookmarkEnd w:id="0"/>
      <w:r w:rsidRPr="00484FB1">
        <w:rPr>
          <w:b/>
          <w:sz w:val="48"/>
        </w:rPr>
        <w:t>Quality of Life Explorer</w:t>
      </w:r>
      <w:r w:rsidR="00A12C25" w:rsidRPr="00484FB1">
        <w:rPr>
          <w:b/>
          <w:sz w:val="48"/>
        </w:rPr>
        <w:t>:</w:t>
      </w:r>
      <w:r w:rsidR="00CB761B" w:rsidRPr="00484FB1">
        <w:rPr>
          <w:b/>
          <w:sz w:val="48"/>
        </w:rPr>
        <w:t xml:space="preserve"> It’s as easy as 1-2-3</w:t>
      </w:r>
      <w:r w:rsidR="00103C3F">
        <w:rPr>
          <w:b/>
          <w:sz w:val="48"/>
        </w:rPr>
        <w:t>!</w:t>
      </w:r>
    </w:p>
    <w:p w:rsidR="00A70105" w:rsidRPr="001C69BB" w:rsidRDefault="00E7788A" w:rsidP="00B515AB">
      <w:pPr>
        <w:pStyle w:val="Heading1"/>
        <w:pBdr>
          <w:bottom w:val="single" w:sz="4" w:space="1" w:color="auto"/>
        </w:pBdr>
        <w:tabs>
          <w:tab w:val="left" w:pos="1890"/>
        </w:tabs>
        <w:rPr>
          <w:b w:val="0"/>
          <w:sz w:val="24"/>
        </w:rPr>
      </w:pPr>
      <w:r w:rsidRPr="001C69BB">
        <w:rPr>
          <w:sz w:val="24"/>
        </w:rPr>
        <w:t xml:space="preserve">Exercise 1 </w:t>
      </w:r>
      <w:r w:rsidR="001C69BB" w:rsidRPr="001C69BB">
        <w:rPr>
          <w:sz w:val="24"/>
        </w:rPr>
        <w:tab/>
      </w:r>
      <w:r w:rsidR="005452D3">
        <w:rPr>
          <w:rStyle w:val="QuoteChar"/>
          <w:sz w:val="24"/>
        </w:rPr>
        <w:t>Create</w:t>
      </w:r>
      <w:r w:rsidR="00500B2A" w:rsidRPr="001C69BB">
        <w:rPr>
          <w:rStyle w:val="QuoteChar"/>
          <w:sz w:val="24"/>
        </w:rPr>
        <w:t xml:space="preserve"> </w:t>
      </w:r>
      <w:r w:rsidR="00A70105" w:rsidRPr="001C69BB">
        <w:rPr>
          <w:rStyle w:val="QuoteChar"/>
          <w:sz w:val="24"/>
        </w:rPr>
        <w:t xml:space="preserve">a </w:t>
      </w:r>
      <w:r w:rsidR="005452D3">
        <w:rPr>
          <w:rStyle w:val="QuoteChar"/>
          <w:sz w:val="24"/>
        </w:rPr>
        <w:t xml:space="preserve">summary </w:t>
      </w:r>
      <w:r w:rsidR="00A70105" w:rsidRPr="001C69BB">
        <w:rPr>
          <w:rStyle w:val="QuoteChar"/>
          <w:sz w:val="24"/>
        </w:rPr>
        <w:t>report for a specific area</w:t>
      </w:r>
    </w:p>
    <w:p w:rsidR="003C7A79" w:rsidRPr="0053662B" w:rsidRDefault="003C7A79" w:rsidP="00B515AB">
      <w:pPr>
        <w:pStyle w:val="NoSpacing"/>
        <w:tabs>
          <w:tab w:val="left" w:pos="1890"/>
        </w:tabs>
        <w:rPr>
          <w:i/>
        </w:rPr>
      </w:pPr>
      <w:r w:rsidRPr="0053662B">
        <w:rPr>
          <w:i/>
        </w:rPr>
        <w:t xml:space="preserve">In this exercise, you </w:t>
      </w:r>
      <w:r w:rsidR="00590C8C">
        <w:rPr>
          <w:i/>
        </w:rPr>
        <w:t>will</w:t>
      </w:r>
      <w:r>
        <w:rPr>
          <w:i/>
        </w:rPr>
        <w:t xml:space="preserve"> quickly generate a report for a single Neighborhood Profile Area</w:t>
      </w:r>
      <w:r w:rsidR="001C69BB">
        <w:rPr>
          <w:i/>
        </w:rPr>
        <w:t xml:space="preserve"> (NPA)</w:t>
      </w:r>
      <w:r>
        <w:rPr>
          <w:i/>
        </w:rPr>
        <w:t>.</w:t>
      </w:r>
    </w:p>
    <w:p w:rsidR="003C7A79" w:rsidRDefault="003C7A79" w:rsidP="00B515AB">
      <w:pPr>
        <w:pStyle w:val="NoSpacing"/>
        <w:tabs>
          <w:tab w:val="left" w:pos="1890"/>
        </w:tabs>
        <w:ind w:left="720"/>
      </w:pPr>
    </w:p>
    <w:p w:rsidR="00A12C25" w:rsidRDefault="00CB761B" w:rsidP="00B515AB">
      <w:pPr>
        <w:pStyle w:val="NoSpacing"/>
        <w:numPr>
          <w:ilvl w:val="0"/>
          <w:numId w:val="1"/>
        </w:numPr>
        <w:tabs>
          <w:tab w:val="left" w:pos="1890"/>
        </w:tabs>
      </w:pPr>
      <w:r>
        <w:t xml:space="preserve">Open </w:t>
      </w:r>
      <w:r w:rsidR="00A12C25">
        <w:t>an internet browser</w:t>
      </w:r>
      <w:r>
        <w:t xml:space="preserve"> (</w:t>
      </w:r>
      <w:r w:rsidR="00182F94">
        <w:t xml:space="preserve">Google Chrome, Mozilla Firefox, or </w:t>
      </w:r>
      <w:r>
        <w:t xml:space="preserve">Internet Explorer) and in the address bar, </w:t>
      </w:r>
      <w:r w:rsidR="002548CB">
        <w:t>enter</w:t>
      </w:r>
      <w:r>
        <w:t xml:space="preserve"> the URL:</w:t>
      </w:r>
      <w:r w:rsidR="00A12C25">
        <w:t xml:space="preserve"> </w:t>
      </w:r>
      <w:r w:rsidR="00A12C25" w:rsidRPr="00DF5957">
        <w:rPr>
          <w:b/>
        </w:rPr>
        <w:t>mcmap.org/</w:t>
      </w:r>
      <w:proofErr w:type="spellStart"/>
      <w:r w:rsidR="00A12C25" w:rsidRPr="00DF5957">
        <w:rPr>
          <w:b/>
        </w:rPr>
        <w:t>qol</w:t>
      </w:r>
      <w:proofErr w:type="spellEnd"/>
    </w:p>
    <w:p w:rsidR="00A12C25" w:rsidRPr="005903EC" w:rsidRDefault="002548CB" w:rsidP="00B515AB">
      <w:pPr>
        <w:pStyle w:val="NoSpacing"/>
        <w:numPr>
          <w:ilvl w:val="0"/>
          <w:numId w:val="16"/>
        </w:numPr>
        <w:tabs>
          <w:tab w:val="left" w:pos="1890"/>
        </w:tabs>
        <w:rPr>
          <w:i/>
        </w:rPr>
      </w:pPr>
      <w:r w:rsidRPr="005903EC">
        <w:rPr>
          <w:i/>
        </w:rPr>
        <w:t xml:space="preserve">Click the “Get Started” button. </w:t>
      </w:r>
      <w:r w:rsidR="00A12C25" w:rsidRPr="005903EC">
        <w:rPr>
          <w:i/>
        </w:rPr>
        <w:t>Before searching for an address, take a look around the dashboard and see what is available.</w:t>
      </w:r>
      <w:r w:rsidR="001E1137" w:rsidRPr="005903EC">
        <w:rPr>
          <w:i/>
        </w:rPr>
        <w:t xml:space="preserve"> The Explorer Overview sheet has the main features highlighted.</w:t>
      </w:r>
    </w:p>
    <w:p w:rsidR="00A12C25" w:rsidRDefault="00A12C25" w:rsidP="00B515AB">
      <w:pPr>
        <w:pStyle w:val="NoSpacing"/>
        <w:numPr>
          <w:ilvl w:val="0"/>
          <w:numId w:val="1"/>
        </w:numPr>
        <w:tabs>
          <w:tab w:val="left" w:pos="1890"/>
        </w:tabs>
      </w:pPr>
      <w:r>
        <w:t>In the search bar</w:t>
      </w:r>
      <w:r w:rsidR="00517C5D">
        <w:t xml:space="preserve"> [#1]</w:t>
      </w:r>
      <w:r>
        <w:t xml:space="preserve">, start typing your address – </w:t>
      </w:r>
      <w:r w:rsidR="00517C5D">
        <w:t>the site will help you finish</w:t>
      </w:r>
      <w:r w:rsidR="003C7A79">
        <w:t xml:space="preserve">. </w:t>
      </w:r>
      <w:r w:rsidR="002548CB">
        <w:t>Click</w:t>
      </w:r>
      <w:r w:rsidR="00CB761B">
        <w:t xml:space="preserve"> on the auto-completed address and watch the dashboard zoom to the location. Click </w:t>
      </w:r>
      <w:r w:rsidR="00A86F35">
        <w:t>the layer control</w:t>
      </w:r>
      <w:r w:rsidR="00CB761B">
        <w:t xml:space="preserve"> </w:t>
      </w:r>
      <w:r w:rsidR="00517C5D">
        <w:t xml:space="preserve">[#2] </w:t>
      </w:r>
      <w:r w:rsidR="00A86F35">
        <w:t>and select “Mecklenburg”</w:t>
      </w:r>
      <w:r w:rsidR="00517C5D">
        <w:t xml:space="preserve"> orient </w:t>
      </w:r>
      <w:proofErr w:type="gramStart"/>
      <w:r w:rsidR="00517C5D">
        <w:t>yourself</w:t>
      </w:r>
      <w:proofErr w:type="gramEnd"/>
      <w:r w:rsidR="00517C5D">
        <w:t>.</w:t>
      </w:r>
    </w:p>
    <w:p w:rsidR="003C7A79" w:rsidRPr="003C7A79" w:rsidRDefault="003C7A79" w:rsidP="00B515AB">
      <w:pPr>
        <w:pStyle w:val="NoSpacing"/>
        <w:numPr>
          <w:ilvl w:val="0"/>
          <w:numId w:val="16"/>
        </w:numPr>
        <w:tabs>
          <w:tab w:val="left" w:pos="1890"/>
        </w:tabs>
        <w:rPr>
          <w:i/>
        </w:rPr>
      </w:pPr>
      <w:r>
        <w:rPr>
          <w:i/>
        </w:rPr>
        <w:t xml:space="preserve">Notice the area is outlined in yellow, indicating that </w:t>
      </w:r>
      <w:r w:rsidR="001E1137">
        <w:rPr>
          <w:i/>
        </w:rPr>
        <w:t xml:space="preserve">an </w:t>
      </w:r>
      <w:r>
        <w:rPr>
          <w:i/>
        </w:rPr>
        <w:t xml:space="preserve">NPA is selected. </w:t>
      </w:r>
    </w:p>
    <w:p w:rsidR="00517C5D" w:rsidRDefault="00517C5D" w:rsidP="00B515AB">
      <w:pPr>
        <w:pStyle w:val="NoSpacing"/>
        <w:numPr>
          <w:ilvl w:val="0"/>
          <w:numId w:val="1"/>
        </w:numPr>
        <w:tabs>
          <w:tab w:val="left" w:pos="1890"/>
        </w:tabs>
      </w:pPr>
      <w:r>
        <w:t xml:space="preserve">Click “Report” [#3] </w:t>
      </w:r>
      <w:r w:rsidR="00D331C4">
        <w:t>and the</w:t>
      </w:r>
      <w:r>
        <w:t xml:space="preserve"> report </w:t>
      </w:r>
      <w:r w:rsidR="00D331C4">
        <w:t xml:space="preserve">will </w:t>
      </w:r>
      <w:r>
        <w:t>open in a new tab.</w:t>
      </w:r>
    </w:p>
    <w:p w:rsidR="00997EAE" w:rsidRDefault="00997EAE" w:rsidP="00B515AB">
      <w:pPr>
        <w:pStyle w:val="NoSpacing"/>
        <w:numPr>
          <w:ilvl w:val="0"/>
          <w:numId w:val="16"/>
        </w:numPr>
        <w:tabs>
          <w:tab w:val="left" w:pos="1890"/>
        </w:tabs>
        <w:rPr>
          <w:i/>
        </w:rPr>
      </w:pPr>
      <w:r>
        <w:rPr>
          <w:i/>
        </w:rPr>
        <w:t xml:space="preserve">Browse the report for </w:t>
      </w:r>
      <w:r w:rsidR="005452D3">
        <w:rPr>
          <w:i/>
        </w:rPr>
        <w:t>information</w:t>
      </w:r>
      <w:r w:rsidR="00120425">
        <w:rPr>
          <w:i/>
        </w:rPr>
        <w:t xml:space="preserve"> on all 82 variables. Notice that each variable within the report is a hyperlink. Click on any blue variable name within the report to be taken back to the dashboard directly to that variable.</w:t>
      </w:r>
    </w:p>
    <w:p w:rsidR="00FA1945" w:rsidRDefault="00FA1945" w:rsidP="00B515AB">
      <w:pPr>
        <w:pStyle w:val="NoSpacing"/>
        <w:tabs>
          <w:tab w:val="left" w:pos="1890"/>
        </w:tabs>
        <w:ind w:left="720"/>
        <w:rPr>
          <w:i/>
        </w:rPr>
      </w:pPr>
    </w:p>
    <w:p w:rsidR="00A30CEA" w:rsidRPr="00997EAE" w:rsidRDefault="00A30CEA" w:rsidP="00B515AB">
      <w:pPr>
        <w:pStyle w:val="NoSpacing"/>
        <w:tabs>
          <w:tab w:val="left" w:pos="1890"/>
        </w:tabs>
        <w:ind w:left="720"/>
        <w:rPr>
          <w:i/>
        </w:rPr>
      </w:pPr>
    </w:p>
    <w:p w:rsidR="00A70105" w:rsidRPr="001C69BB" w:rsidRDefault="009932D0" w:rsidP="00B515AB">
      <w:pPr>
        <w:pStyle w:val="Heading1"/>
        <w:pBdr>
          <w:bottom w:val="single" w:sz="4" w:space="1" w:color="auto"/>
        </w:pBdr>
        <w:tabs>
          <w:tab w:val="left" w:pos="1890"/>
        </w:tabs>
        <w:rPr>
          <w:b w:val="0"/>
          <w:sz w:val="24"/>
        </w:rPr>
      </w:pPr>
      <w:r w:rsidRPr="001C69BB">
        <w:rPr>
          <w:sz w:val="24"/>
        </w:rPr>
        <w:t>Exercise 2</w:t>
      </w:r>
      <w:r w:rsidR="001C69BB" w:rsidRPr="001C69BB">
        <w:rPr>
          <w:sz w:val="24"/>
        </w:rPr>
        <w:tab/>
      </w:r>
      <w:r w:rsidR="00A70105" w:rsidRPr="001C69BB">
        <w:rPr>
          <w:rStyle w:val="QuoteChar"/>
          <w:sz w:val="24"/>
        </w:rPr>
        <w:t xml:space="preserve">Explore </w:t>
      </w:r>
      <w:r w:rsidR="00A9742C" w:rsidRPr="001C69BB">
        <w:rPr>
          <w:rStyle w:val="QuoteChar"/>
          <w:sz w:val="24"/>
        </w:rPr>
        <w:t>variables across the city and county</w:t>
      </w:r>
    </w:p>
    <w:p w:rsidR="00A70105" w:rsidRPr="0053662B" w:rsidRDefault="00BD7EBB" w:rsidP="00B515AB">
      <w:pPr>
        <w:pStyle w:val="NoSpacing"/>
        <w:tabs>
          <w:tab w:val="left" w:pos="1890"/>
        </w:tabs>
        <w:rPr>
          <w:i/>
        </w:rPr>
      </w:pPr>
      <w:r w:rsidRPr="0053662B">
        <w:rPr>
          <w:i/>
        </w:rPr>
        <w:t xml:space="preserve">In this exercise, you </w:t>
      </w:r>
      <w:r w:rsidR="00590C8C">
        <w:rPr>
          <w:i/>
        </w:rPr>
        <w:t xml:space="preserve">will </w:t>
      </w:r>
      <w:r w:rsidRPr="0053662B">
        <w:rPr>
          <w:i/>
        </w:rPr>
        <w:t>explore different variables</w:t>
      </w:r>
      <w:r w:rsidR="00590C8C">
        <w:rPr>
          <w:i/>
        </w:rPr>
        <w:t xml:space="preserve"> as well as</w:t>
      </w:r>
      <w:r w:rsidRPr="0053662B">
        <w:rPr>
          <w:i/>
        </w:rPr>
        <w:t xml:space="preserve"> how they change over time </w:t>
      </w:r>
      <w:r w:rsidR="00590C8C">
        <w:rPr>
          <w:i/>
        </w:rPr>
        <w:t>and across</w:t>
      </w:r>
      <w:r w:rsidRPr="0053662B">
        <w:rPr>
          <w:i/>
        </w:rPr>
        <w:t xml:space="preserve"> neighborhoods. </w:t>
      </w:r>
    </w:p>
    <w:p w:rsidR="003C7A79" w:rsidRDefault="003C7A79" w:rsidP="00B515AB">
      <w:pPr>
        <w:pStyle w:val="NoSpacing"/>
        <w:tabs>
          <w:tab w:val="left" w:pos="1890"/>
        </w:tabs>
        <w:ind w:left="1080"/>
      </w:pPr>
    </w:p>
    <w:p w:rsidR="00500B2A" w:rsidRDefault="00500B2A" w:rsidP="00B515AB">
      <w:pPr>
        <w:pStyle w:val="NoSpacing"/>
        <w:numPr>
          <w:ilvl w:val="0"/>
          <w:numId w:val="3"/>
        </w:numPr>
        <w:tabs>
          <w:tab w:val="left" w:pos="1890"/>
        </w:tabs>
      </w:pPr>
      <w:r>
        <w:t xml:space="preserve">Open an internet browser </w:t>
      </w:r>
      <w:r w:rsidR="00182F94" w:rsidRPr="00182F94">
        <w:t xml:space="preserve">(Google Chrome, Mozilla Firefox, or Internet Explorer) </w:t>
      </w:r>
      <w:r>
        <w:t xml:space="preserve">and in the address bar, enter the URL: </w:t>
      </w:r>
      <w:r w:rsidRPr="00DF5957">
        <w:rPr>
          <w:b/>
        </w:rPr>
        <w:t>mcmap.org/</w:t>
      </w:r>
      <w:proofErr w:type="spellStart"/>
      <w:r w:rsidRPr="00DF5957">
        <w:rPr>
          <w:b/>
        </w:rPr>
        <w:t>qol</w:t>
      </w:r>
      <w:proofErr w:type="spellEnd"/>
      <w:r w:rsidR="00517C5D">
        <w:rPr>
          <w:b/>
        </w:rPr>
        <w:t xml:space="preserve"> </w:t>
      </w:r>
    </w:p>
    <w:p w:rsidR="00D45448" w:rsidRPr="005903EC" w:rsidRDefault="00D45448" w:rsidP="00B515AB">
      <w:pPr>
        <w:pStyle w:val="NoSpacing"/>
        <w:numPr>
          <w:ilvl w:val="0"/>
          <w:numId w:val="15"/>
        </w:numPr>
        <w:tabs>
          <w:tab w:val="left" w:pos="1890"/>
        </w:tabs>
        <w:rPr>
          <w:i/>
        </w:rPr>
      </w:pPr>
      <w:r w:rsidRPr="005903EC">
        <w:rPr>
          <w:i/>
        </w:rPr>
        <w:t>Click the “Get Started” button. Before searching for an address, take a look around the dashboard and see what is available. The Explorer Overview sheet has the main features highlighted.</w:t>
      </w:r>
    </w:p>
    <w:p w:rsidR="0063675C" w:rsidRDefault="00517C5D" w:rsidP="00B515AB">
      <w:pPr>
        <w:pStyle w:val="NoSpacing"/>
        <w:numPr>
          <w:ilvl w:val="0"/>
          <w:numId w:val="3"/>
        </w:numPr>
        <w:tabs>
          <w:tab w:val="left" w:pos="1890"/>
        </w:tabs>
      </w:pPr>
      <w:r>
        <w:t>Explore the list of all</w:t>
      </w:r>
      <w:r w:rsidR="0063675C">
        <w:t xml:space="preserve"> variables</w:t>
      </w:r>
      <w:r>
        <w:t xml:space="preserve"> by clicking on the Variable List [#4].</w:t>
      </w:r>
      <w:r w:rsidR="00770CE5">
        <w:t xml:space="preserve"> Select any variable and see how the map changes automatically.</w:t>
      </w:r>
    </w:p>
    <w:p w:rsidR="003E6E09" w:rsidRDefault="005452D3" w:rsidP="00B515AB">
      <w:pPr>
        <w:pStyle w:val="NoSpacing"/>
        <w:numPr>
          <w:ilvl w:val="0"/>
          <w:numId w:val="3"/>
        </w:numPr>
        <w:tabs>
          <w:tab w:val="left" w:pos="1890"/>
        </w:tabs>
      </w:pPr>
      <w:r>
        <w:t xml:space="preserve">For this exercise, select “Water Consumption” under the Environment domain. </w:t>
      </w:r>
      <w:r w:rsidR="003E6E09">
        <w:t>Hover over an NPA on the map and a pop-up box will appear with the NPA number and the average daily water consumption.</w:t>
      </w:r>
    </w:p>
    <w:p w:rsidR="0063675C" w:rsidRDefault="003E6E09" w:rsidP="00B515AB">
      <w:pPr>
        <w:pStyle w:val="NoSpacing"/>
        <w:numPr>
          <w:ilvl w:val="0"/>
          <w:numId w:val="3"/>
        </w:numPr>
        <w:tabs>
          <w:tab w:val="left" w:pos="1890"/>
        </w:tabs>
      </w:pPr>
      <w:r>
        <w:t xml:space="preserve">Next, hover over the points on the trend chart [#10] </w:t>
      </w:r>
      <w:r w:rsidR="002C5C4A">
        <w:t>to see how water consumption in the county has changed over time. Is water consumption in Mecklenburg County going up or down?</w:t>
      </w:r>
      <w:r>
        <w:t xml:space="preserve"> </w:t>
      </w:r>
    </w:p>
    <w:p w:rsidR="00997EAE" w:rsidRPr="00997EAE" w:rsidRDefault="00997EAE" w:rsidP="00B515AB">
      <w:pPr>
        <w:pStyle w:val="NoSpacing"/>
        <w:numPr>
          <w:ilvl w:val="0"/>
          <w:numId w:val="14"/>
        </w:numPr>
        <w:tabs>
          <w:tab w:val="left" w:pos="1890"/>
        </w:tabs>
        <w:rPr>
          <w:i/>
        </w:rPr>
      </w:pPr>
      <w:r w:rsidRPr="00997EAE">
        <w:rPr>
          <w:i/>
        </w:rPr>
        <w:t>For variables wit</w:t>
      </w:r>
      <w:r>
        <w:rPr>
          <w:i/>
        </w:rPr>
        <w:t>h more than one time point, the time slider is activated on the bottom-left of the map [#7]. Switch between years with the slider to see how data changes.</w:t>
      </w:r>
      <w:r w:rsidR="002C5C4A">
        <w:rPr>
          <w:i/>
        </w:rPr>
        <w:t xml:space="preserve"> Notice how the variable value [#9] changes as the time slider moves back and forth.</w:t>
      </w:r>
    </w:p>
    <w:p w:rsidR="002C5C4A" w:rsidRDefault="002C5C4A" w:rsidP="00B515AB">
      <w:pPr>
        <w:pStyle w:val="NoSpacing"/>
        <w:numPr>
          <w:ilvl w:val="0"/>
          <w:numId w:val="3"/>
        </w:numPr>
        <w:tabs>
          <w:tab w:val="left" w:pos="1890"/>
        </w:tabs>
      </w:pPr>
      <w:r>
        <w:t xml:space="preserve">Next, select any NPA by clicking on the map. Notice that the variable value appeared under SELECTED NPAs [#9] and a new trend line appeared in yellow on the trend chart [#10]. </w:t>
      </w:r>
      <w:r w:rsidR="00770CE5">
        <w:t>How does water consumption in your selected NPA compare to the County as a whole?</w:t>
      </w:r>
    </w:p>
    <w:p w:rsidR="00770CE5" w:rsidRDefault="00770CE5" w:rsidP="00B515AB">
      <w:pPr>
        <w:pStyle w:val="NoSpacing"/>
        <w:numPr>
          <w:ilvl w:val="0"/>
          <w:numId w:val="3"/>
        </w:numPr>
        <w:tabs>
          <w:tab w:val="left" w:pos="1890"/>
        </w:tabs>
      </w:pPr>
      <w:r>
        <w:t>Now, select two more NPAs to compare. Notice that as you select areas, a data table populates underneath the map [#6]. Which of your selected NPAs uses the most gallons of water per day?</w:t>
      </w:r>
    </w:p>
    <w:p w:rsidR="001C69BB" w:rsidRDefault="0063675C" w:rsidP="00B515AB">
      <w:pPr>
        <w:pStyle w:val="NoSpacing"/>
        <w:numPr>
          <w:ilvl w:val="0"/>
          <w:numId w:val="3"/>
        </w:numPr>
        <w:tabs>
          <w:tab w:val="left" w:pos="1890"/>
        </w:tabs>
      </w:pPr>
      <w:r>
        <w:t xml:space="preserve">To learn more about any variable, scroll down below the map and </w:t>
      </w:r>
      <w:r w:rsidR="00770CE5">
        <w:t>explore</w:t>
      </w:r>
      <w:r>
        <w:t xml:space="preserve"> the companion information to learn more and find resources to take action.</w:t>
      </w:r>
      <w:r w:rsidR="00770CE5">
        <w:t xml:space="preserve"> For this exercise, scroll down to Additional Resources and click on the first link to learn how you can help “Conserve Water.”</w:t>
      </w:r>
    </w:p>
    <w:p w:rsidR="00DF5957" w:rsidRDefault="0063675C" w:rsidP="00B515AB">
      <w:pPr>
        <w:pStyle w:val="NoSpacing"/>
        <w:tabs>
          <w:tab w:val="left" w:pos="1890"/>
        </w:tabs>
        <w:ind w:left="720"/>
      </w:pPr>
      <w:r>
        <w:t xml:space="preserve"> </w:t>
      </w:r>
      <w:r w:rsidR="00DF5957">
        <w:t xml:space="preserve"> </w:t>
      </w:r>
    </w:p>
    <w:p w:rsidR="001C69BB" w:rsidRDefault="001C69BB" w:rsidP="00B515AB">
      <w:pPr>
        <w:tabs>
          <w:tab w:val="left" w:pos="1890"/>
        </w:tabs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</w:pPr>
    </w:p>
    <w:p w:rsidR="001C69BB" w:rsidRDefault="001C69BB" w:rsidP="00B515AB">
      <w:pPr>
        <w:tabs>
          <w:tab w:val="left" w:pos="1890"/>
        </w:tabs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</w:pPr>
      <w:r>
        <w:rPr>
          <w:sz w:val="24"/>
        </w:rPr>
        <w:br w:type="page"/>
      </w:r>
    </w:p>
    <w:p w:rsidR="00890C36" w:rsidRPr="001C69BB" w:rsidRDefault="00890C36" w:rsidP="00B515AB">
      <w:pPr>
        <w:pStyle w:val="Heading1"/>
        <w:pBdr>
          <w:bottom w:val="single" w:sz="4" w:space="1" w:color="auto"/>
        </w:pBdr>
        <w:tabs>
          <w:tab w:val="left" w:pos="1890"/>
        </w:tabs>
        <w:rPr>
          <w:b w:val="0"/>
          <w:sz w:val="24"/>
        </w:rPr>
      </w:pPr>
      <w:r w:rsidRPr="001C69BB">
        <w:rPr>
          <w:sz w:val="24"/>
        </w:rPr>
        <w:lastRenderedPageBreak/>
        <w:t xml:space="preserve">Exercise </w:t>
      </w:r>
      <w:r w:rsidR="00A9742C" w:rsidRPr="001C69BB">
        <w:rPr>
          <w:sz w:val="24"/>
        </w:rPr>
        <w:t>3</w:t>
      </w:r>
      <w:r w:rsidR="001C69BB" w:rsidRPr="001C69BB">
        <w:rPr>
          <w:sz w:val="24"/>
        </w:rPr>
        <w:tab/>
      </w:r>
      <w:r w:rsidR="00FD6477" w:rsidRPr="001C69BB">
        <w:rPr>
          <w:rStyle w:val="QuoteChar"/>
          <w:sz w:val="24"/>
        </w:rPr>
        <w:t>Build your own area</w:t>
      </w:r>
    </w:p>
    <w:p w:rsidR="00BD7EBB" w:rsidRPr="0053662B" w:rsidRDefault="00061EE7" w:rsidP="001C69BB">
      <w:pPr>
        <w:pStyle w:val="NoSpacing"/>
        <w:tabs>
          <w:tab w:val="left" w:pos="2880"/>
        </w:tabs>
        <w:rPr>
          <w:i/>
        </w:rPr>
      </w:pPr>
      <w:r w:rsidRPr="0053662B">
        <w:rPr>
          <w:i/>
        </w:rPr>
        <w:t xml:space="preserve">In this exercise, you </w:t>
      </w:r>
      <w:r w:rsidR="00590C8C">
        <w:rPr>
          <w:i/>
        </w:rPr>
        <w:t>will</w:t>
      </w:r>
      <w:r w:rsidRPr="0053662B">
        <w:rPr>
          <w:i/>
        </w:rPr>
        <w:t xml:space="preserve"> create your own neighborhood, area or corridor. Some examples include </w:t>
      </w:r>
      <w:r w:rsidR="00BD7EBB" w:rsidRPr="0053662B">
        <w:rPr>
          <w:i/>
        </w:rPr>
        <w:t xml:space="preserve">combinations of neighborhoods that make up </w:t>
      </w:r>
      <w:r w:rsidRPr="0053662B">
        <w:rPr>
          <w:i/>
        </w:rPr>
        <w:t>University City</w:t>
      </w:r>
      <w:r w:rsidR="00BD7EBB" w:rsidRPr="0053662B">
        <w:rPr>
          <w:i/>
        </w:rPr>
        <w:t>, that are along a road such as Independence Blvd, that surround a school, or that make up other jurisdictions such as the surrounding towns.</w:t>
      </w:r>
    </w:p>
    <w:p w:rsidR="00061EE7" w:rsidRDefault="00BD7EBB" w:rsidP="001C69BB">
      <w:pPr>
        <w:pStyle w:val="NoSpacing"/>
        <w:tabs>
          <w:tab w:val="left" w:pos="2880"/>
        </w:tabs>
      </w:pPr>
      <w:r>
        <w:t xml:space="preserve"> </w:t>
      </w:r>
    </w:p>
    <w:p w:rsidR="00FD6477" w:rsidRDefault="00FD6477" w:rsidP="001C69BB">
      <w:pPr>
        <w:pStyle w:val="NoSpacing"/>
        <w:numPr>
          <w:ilvl w:val="0"/>
          <w:numId w:val="5"/>
        </w:numPr>
        <w:tabs>
          <w:tab w:val="left" w:pos="2880"/>
        </w:tabs>
      </w:pPr>
      <w:r>
        <w:t xml:space="preserve">Open an internet browser </w:t>
      </w:r>
      <w:r w:rsidR="00182F94" w:rsidRPr="00182F94">
        <w:t>(Google Chrome, Mozilla Firefox, or Internet Explorer)</w:t>
      </w:r>
      <w:r>
        <w:t xml:space="preserve"> and in the address bar, enter the URL: </w:t>
      </w:r>
      <w:r w:rsidRPr="00DF5957">
        <w:rPr>
          <w:b/>
        </w:rPr>
        <w:t>mcmap.org/</w:t>
      </w:r>
      <w:proofErr w:type="spellStart"/>
      <w:r w:rsidRPr="00DF5957">
        <w:rPr>
          <w:b/>
        </w:rPr>
        <w:t>qol</w:t>
      </w:r>
      <w:proofErr w:type="spellEnd"/>
    </w:p>
    <w:p w:rsidR="00D45448" w:rsidRDefault="00D45448" w:rsidP="005903EC">
      <w:pPr>
        <w:pStyle w:val="NoSpacing"/>
        <w:tabs>
          <w:tab w:val="left" w:pos="2880"/>
        </w:tabs>
        <w:ind w:left="720"/>
      </w:pPr>
      <w:r>
        <w:t>Click the “Get Started” button. Before searching for an address, take a look around the dashboard and see what is available. The Explorer Overview sheet has the main features highlighted.</w:t>
      </w:r>
    </w:p>
    <w:p w:rsidR="00A86F35" w:rsidRDefault="00A86F35" w:rsidP="00A86F35">
      <w:pPr>
        <w:pStyle w:val="NoSpacing"/>
        <w:numPr>
          <w:ilvl w:val="0"/>
          <w:numId w:val="5"/>
        </w:numPr>
        <w:tabs>
          <w:tab w:val="left" w:pos="1890"/>
        </w:tabs>
      </w:pPr>
      <w:r>
        <w:t xml:space="preserve">Click the layer control [#2] and select “Mecklenburg” orient </w:t>
      </w:r>
      <w:proofErr w:type="gramStart"/>
      <w:r>
        <w:t>yourself</w:t>
      </w:r>
      <w:proofErr w:type="gramEnd"/>
      <w:r>
        <w:t>.</w:t>
      </w:r>
    </w:p>
    <w:p w:rsidR="003C7A79" w:rsidRDefault="003C7A79" w:rsidP="001C69BB">
      <w:pPr>
        <w:pStyle w:val="NoSpacing"/>
        <w:numPr>
          <w:ilvl w:val="0"/>
          <w:numId w:val="5"/>
        </w:numPr>
        <w:tabs>
          <w:tab w:val="left" w:pos="2880"/>
        </w:tabs>
      </w:pPr>
      <w:r>
        <w:t>Start with an address, as in Exercise 1, or zoom in using the map controls to find where you wish to start.</w:t>
      </w:r>
    </w:p>
    <w:p w:rsidR="003C7A79" w:rsidRDefault="00D8168D" w:rsidP="001C69BB">
      <w:pPr>
        <w:pStyle w:val="NoSpacing"/>
        <w:numPr>
          <w:ilvl w:val="0"/>
          <w:numId w:val="5"/>
        </w:numPr>
        <w:tabs>
          <w:tab w:val="left" w:pos="2880"/>
        </w:tabs>
      </w:pPr>
      <w:r>
        <w:t>Select a</w:t>
      </w:r>
      <w:r w:rsidR="001E1137">
        <w:t xml:space="preserve"> NPA by clicking the map. </w:t>
      </w:r>
    </w:p>
    <w:p w:rsidR="005903EC" w:rsidRDefault="00D23656" w:rsidP="005903EC">
      <w:pPr>
        <w:pStyle w:val="NoSpacing"/>
        <w:numPr>
          <w:ilvl w:val="0"/>
          <w:numId w:val="13"/>
        </w:numPr>
        <w:tabs>
          <w:tab w:val="left" w:pos="2880"/>
        </w:tabs>
        <w:rPr>
          <w:i/>
        </w:rPr>
      </w:pPr>
      <w:r>
        <w:rPr>
          <w:i/>
        </w:rPr>
        <w:t>T</w:t>
      </w:r>
      <w:r w:rsidR="001E1137">
        <w:rPr>
          <w:i/>
        </w:rPr>
        <w:t>he area</w:t>
      </w:r>
      <w:r w:rsidR="005903EC">
        <w:rPr>
          <w:i/>
        </w:rPr>
        <w:t>s</w:t>
      </w:r>
      <w:r w:rsidR="001E1137">
        <w:rPr>
          <w:i/>
        </w:rPr>
        <w:t xml:space="preserve"> you click are outlined in yellow, indicating that </w:t>
      </w:r>
      <w:r w:rsidR="005903EC">
        <w:rPr>
          <w:i/>
        </w:rPr>
        <w:t xml:space="preserve">they are </w:t>
      </w:r>
      <w:r w:rsidR="001E1137">
        <w:rPr>
          <w:i/>
        </w:rPr>
        <w:t xml:space="preserve">selected. To unselect an area, simply click </w:t>
      </w:r>
      <w:r>
        <w:rPr>
          <w:i/>
        </w:rPr>
        <w:t xml:space="preserve">inside the area </w:t>
      </w:r>
      <w:r w:rsidR="005903EC">
        <w:rPr>
          <w:i/>
        </w:rPr>
        <w:t>again – the yellow outline will go away.</w:t>
      </w:r>
      <w:r w:rsidR="00103C3F">
        <w:rPr>
          <w:i/>
        </w:rPr>
        <w:t xml:space="preserve"> To start over, click on the “Clear Selected” button under the map. </w:t>
      </w:r>
    </w:p>
    <w:p w:rsidR="001E1137" w:rsidRDefault="005903EC" w:rsidP="005903EC">
      <w:pPr>
        <w:pStyle w:val="NoSpacing"/>
        <w:tabs>
          <w:tab w:val="left" w:pos="2880"/>
        </w:tabs>
        <w:ind w:left="720"/>
        <w:rPr>
          <w:i/>
        </w:rPr>
      </w:pPr>
      <w:r>
        <w:t>Select as many more NPAs as you feel cover the area you wish to learn information about.</w:t>
      </w:r>
    </w:p>
    <w:p w:rsidR="00D8168D" w:rsidRDefault="00D8168D" w:rsidP="005903EC">
      <w:pPr>
        <w:pStyle w:val="NoSpacing"/>
        <w:numPr>
          <w:ilvl w:val="0"/>
          <w:numId w:val="13"/>
        </w:numPr>
        <w:tabs>
          <w:tab w:val="left" w:pos="2880"/>
        </w:tabs>
        <w:rPr>
          <w:i/>
        </w:rPr>
      </w:pPr>
      <w:r>
        <w:rPr>
          <w:i/>
        </w:rPr>
        <w:t xml:space="preserve">Look at the two boxes at the top </w:t>
      </w:r>
      <w:r w:rsidR="005903EC">
        <w:rPr>
          <w:i/>
        </w:rPr>
        <w:t>of the screen</w:t>
      </w:r>
      <w:r>
        <w:rPr>
          <w:i/>
        </w:rPr>
        <w:t>: the box on the left, “Selected NPAs,” chan</w:t>
      </w:r>
      <w:r w:rsidR="00D23656">
        <w:rPr>
          <w:i/>
        </w:rPr>
        <w:t>ges</w:t>
      </w:r>
      <w:r>
        <w:rPr>
          <w:i/>
        </w:rPr>
        <w:t xml:space="preserve"> ever</w:t>
      </w:r>
      <w:r w:rsidR="00B515AB">
        <w:rPr>
          <w:i/>
        </w:rPr>
        <w:t>y time you add or remove a NPA (t</w:t>
      </w:r>
      <w:r>
        <w:rPr>
          <w:i/>
        </w:rPr>
        <w:t xml:space="preserve">his is the dashboard automatically re-calculating the </w:t>
      </w:r>
      <w:r w:rsidR="00D23656">
        <w:rPr>
          <w:i/>
        </w:rPr>
        <w:t xml:space="preserve">variable’s </w:t>
      </w:r>
      <w:r w:rsidR="00B515AB">
        <w:rPr>
          <w:i/>
        </w:rPr>
        <w:t>value!)</w:t>
      </w:r>
    </w:p>
    <w:p w:rsidR="00DC5DDF" w:rsidRPr="00DC5DDF" w:rsidRDefault="00DC5DDF" w:rsidP="00DC5DDF">
      <w:pPr>
        <w:pStyle w:val="NoSpacing"/>
        <w:tabs>
          <w:tab w:val="left" w:pos="2880"/>
        </w:tabs>
        <w:ind w:left="1080"/>
        <w:rPr>
          <w:b/>
          <w:i/>
        </w:rPr>
      </w:pPr>
    </w:p>
    <w:p w:rsidR="00A86F35" w:rsidRPr="00DC5DDF" w:rsidRDefault="00A86F35" w:rsidP="00A86F35">
      <w:pPr>
        <w:pStyle w:val="NoSpacing"/>
        <w:tabs>
          <w:tab w:val="left" w:pos="2880"/>
        </w:tabs>
        <w:ind w:left="1080"/>
        <w:rPr>
          <w:b/>
          <w:i/>
        </w:rPr>
      </w:pPr>
      <w:r w:rsidRPr="00DC5DDF">
        <w:rPr>
          <w:b/>
          <w:i/>
        </w:rPr>
        <w:t>OR</w:t>
      </w:r>
    </w:p>
    <w:p w:rsidR="00DC5DDF" w:rsidRDefault="00DC5DDF" w:rsidP="00A86F35">
      <w:pPr>
        <w:pStyle w:val="NoSpacing"/>
        <w:tabs>
          <w:tab w:val="left" w:pos="2880"/>
        </w:tabs>
        <w:ind w:left="1080"/>
        <w:rPr>
          <w:i/>
        </w:rPr>
      </w:pPr>
    </w:p>
    <w:p w:rsidR="00A86F35" w:rsidRDefault="00A86F35" w:rsidP="00A86F35">
      <w:pPr>
        <w:pStyle w:val="NoSpacing"/>
        <w:tabs>
          <w:tab w:val="left" w:pos="2880"/>
        </w:tabs>
        <w:ind w:firstLine="720"/>
      </w:pPr>
      <w:r w:rsidRPr="00A86F35">
        <w:t xml:space="preserve">Use the Pre-defined areas [#11] to explore by jurisdiction, City Council District, or County Commission District! </w:t>
      </w:r>
    </w:p>
    <w:p w:rsidR="00DC5DDF" w:rsidRPr="00A86F35" w:rsidRDefault="00DC5DDF" w:rsidP="00A86F35">
      <w:pPr>
        <w:pStyle w:val="NoSpacing"/>
        <w:tabs>
          <w:tab w:val="left" w:pos="2880"/>
        </w:tabs>
        <w:ind w:firstLine="720"/>
      </w:pPr>
    </w:p>
    <w:p w:rsidR="0053662B" w:rsidRDefault="00D23656" w:rsidP="001C69BB">
      <w:pPr>
        <w:pStyle w:val="NoSpacing"/>
        <w:numPr>
          <w:ilvl w:val="0"/>
          <w:numId w:val="5"/>
        </w:numPr>
        <w:tabs>
          <w:tab w:val="left" w:pos="2880"/>
        </w:tabs>
      </w:pPr>
      <w:r>
        <w:t>Look below the map at the data table</w:t>
      </w:r>
      <w:r w:rsidR="0053662B">
        <w:t xml:space="preserve"> [#6]. </w:t>
      </w:r>
      <w:r w:rsidR="00A30CEA">
        <w:t>Each</w:t>
      </w:r>
      <w:r w:rsidR="0053662B">
        <w:t xml:space="preserve"> NPA that makes up your entire area has</w:t>
      </w:r>
      <w:r>
        <w:t xml:space="preserve"> its individual value displayed for further comparison. </w:t>
      </w:r>
    </w:p>
    <w:p w:rsidR="00A30CEA" w:rsidRDefault="00A30CEA" w:rsidP="001C69BB">
      <w:pPr>
        <w:pStyle w:val="NoSpacing"/>
        <w:numPr>
          <w:ilvl w:val="0"/>
          <w:numId w:val="5"/>
        </w:numPr>
        <w:tabs>
          <w:tab w:val="left" w:pos="2880"/>
        </w:tabs>
      </w:pPr>
      <w:r>
        <w:t xml:space="preserve">Finally, generate a summary report for your custom area by clicking “Report” [#3] as you did in Exercise 1. Now, give your area a name by clicking on “Summary Report” and typing in a custom name for </w:t>
      </w:r>
      <w:r w:rsidR="009B78FD">
        <w:t>your area.</w:t>
      </w:r>
      <w:r>
        <w:t xml:space="preserve">  </w:t>
      </w:r>
    </w:p>
    <w:p w:rsidR="001C69BB" w:rsidRDefault="001C69BB" w:rsidP="001C69BB">
      <w:pPr>
        <w:pStyle w:val="NoSpacing"/>
        <w:tabs>
          <w:tab w:val="left" w:pos="2880"/>
        </w:tabs>
      </w:pPr>
    </w:p>
    <w:p w:rsidR="001C69BB" w:rsidRDefault="001C69BB" w:rsidP="001C69BB">
      <w:pPr>
        <w:pStyle w:val="NoSpacing"/>
        <w:tabs>
          <w:tab w:val="left" w:pos="2880"/>
        </w:tabs>
      </w:pPr>
    </w:p>
    <w:p w:rsidR="00D8168D" w:rsidRPr="00103C3F" w:rsidRDefault="00D331C4" w:rsidP="001C69BB">
      <w:pPr>
        <w:pStyle w:val="Heading1"/>
        <w:pBdr>
          <w:bottom w:val="single" w:sz="4" w:space="1" w:color="auto"/>
        </w:pBdr>
        <w:tabs>
          <w:tab w:val="left" w:pos="2880"/>
        </w:tabs>
        <w:rPr>
          <w:sz w:val="24"/>
          <w:szCs w:val="24"/>
        </w:rPr>
      </w:pPr>
      <w:r w:rsidRPr="00103C3F">
        <w:rPr>
          <w:sz w:val="24"/>
          <w:szCs w:val="24"/>
        </w:rPr>
        <w:t>Just For Fun</w:t>
      </w:r>
    </w:p>
    <w:p w:rsidR="001C69BB" w:rsidRDefault="001C69BB" w:rsidP="001C69BB">
      <w:pPr>
        <w:pStyle w:val="NoSpacing"/>
        <w:tabs>
          <w:tab w:val="left" w:pos="2880"/>
        </w:tabs>
        <w:ind w:left="720"/>
      </w:pPr>
    </w:p>
    <w:p w:rsidR="00D8168D" w:rsidRDefault="00D8168D" w:rsidP="001C69BB">
      <w:pPr>
        <w:pStyle w:val="NoSpacing"/>
        <w:numPr>
          <w:ilvl w:val="0"/>
          <w:numId w:val="8"/>
        </w:numPr>
        <w:tabs>
          <w:tab w:val="left" w:pos="2880"/>
        </w:tabs>
      </w:pPr>
      <w:r>
        <w:t>Navigate to the “Voter Participation” variable</w:t>
      </w:r>
      <w:r w:rsidR="009B78FD">
        <w:t xml:space="preserve"> under the Engagement domain</w:t>
      </w:r>
      <w:r>
        <w:t xml:space="preserve">. </w:t>
      </w:r>
      <w:r w:rsidR="009B78FD">
        <w:t>(Hint: you can use the Variable List, or type “Voter Participation” into the search bar.</w:t>
      </w:r>
      <w:r w:rsidR="00D331C4">
        <w:t>)</w:t>
      </w:r>
      <w:r w:rsidR="009B78FD">
        <w:t xml:space="preserve"> </w:t>
      </w:r>
      <w:r>
        <w:t xml:space="preserve">Move the time slider back and forth. See the big difference in the two years’ of data? </w:t>
      </w:r>
      <w:r w:rsidR="009B78FD">
        <w:t xml:space="preserve"> Scroll down to the Variable Information and read “How are we doing?” to find out more.</w:t>
      </w:r>
    </w:p>
    <w:p w:rsidR="00D8168D" w:rsidRDefault="00A64BFF" w:rsidP="001C69BB">
      <w:pPr>
        <w:pStyle w:val="NoSpacing"/>
        <w:numPr>
          <w:ilvl w:val="0"/>
          <w:numId w:val="8"/>
        </w:numPr>
        <w:tabs>
          <w:tab w:val="left" w:pos="2880"/>
        </w:tabs>
      </w:pPr>
      <w:r>
        <w:t xml:space="preserve">Navigate to the “Residential Renovations” variable. Click on areas that you think are growing faster than the county. </w:t>
      </w:r>
      <w:r w:rsidR="005903EC">
        <w:t>Does the data table on the bottom and the</w:t>
      </w:r>
      <w:r>
        <w:t xml:space="preserve"> trend chart on the right reflect your thoughts? </w:t>
      </w:r>
    </w:p>
    <w:p w:rsidR="00FA1945" w:rsidRDefault="00FA1945" w:rsidP="001C69BB">
      <w:pPr>
        <w:pStyle w:val="NoSpacing"/>
        <w:tabs>
          <w:tab w:val="left" w:pos="2880"/>
        </w:tabs>
      </w:pPr>
    </w:p>
    <w:p w:rsidR="00D45448" w:rsidRPr="00103C3F" w:rsidRDefault="00D331C4" w:rsidP="00417162">
      <w:pPr>
        <w:pStyle w:val="Heading1"/>
        <w:pBdr>
          <w:bottom w:val="single" w:sz="4" w:space="1" w:color="auto"/>
        </w:pBdr>
        <w:tabs>
          <w:tab w:val="left" w:pos="2880"/>
        </w:tabs>
        <w:rPr>
          <w:sz w:val="24"/>
          <w:szCs w:val="24"/>
        </w:rPr>
      </w:pPr>
      <w:r w:rsidRPr="00103C3F">
        <w:rPr>
          <w:sz w:val="24"/>
          <w:szCs w:val="24"/>
        </w:rPr>
        <w:t>Things to Remember</w:t>
      </w:r>
    </w:p>
    <w:p w:rsidR="00D331C4" w:rsidRDefault="00D331C4" w:rsidP="00417162">
      <w:pPr>
        <w:pStyle w:val="NoSpacing"/>
        <w:numPr>
          <w:ilvl w:val="0"/>
          <w:numId w:val="12"/>
        </w:numPr>
        <w:ind w:left="720"/>
      </w:pPr>
      <w:r>
        <w:t xml:space="preserve">Use the “Help” button on the site’s menu bar to take a tour of the parts and pieces of the dashboard. </w:t>
      </w:r>
    </w:p>
    <w:p w:rsidR="00D45448" w:rsidRDefault="00D45448" w:rsidP="00417162">
      <w:pPr>
        <w:pStyle w:val="NoSpacing"/>
        <w:numPr>
          <w:ilvl w:val="0"/>
          <w:numId w:val="12"/>
        </w:numPr>
        <w:ind w:left="720"/>
      </w:pPr>
      <w:r>
        <w:t xml:space="preserve">Any view in the Explorer or in a Report can be shared by copying the URL and sending it to others. </w:t>
      </w:r>
      <w:r w:rsidR="009B78FD">
        <w:t xml:space="preserve">The Report can also be printed or saved as a pdf.  </w:t>
      </w:r>
    </w:p>
    <w:p w:rsidR="00FA1945" w:rsidRDefault="00417162" w:rsidP="00417162">
      <w:pPr>
        <w:pStyle w:val="NoSpacing"/>
        <w:numPr>
          <w:ilvl w:val="0"/>
          <w:numId w:val="12"/>
        </w:numPr>
        <w:ind w:left="720"/>
      </w:pPr>
      <w:r>
        <w:t xml:space="preserve">We’re here to help! Use the Contact tab on the site’s menu bar to send us a message, or e-mail us directly at </w:t>
      </w:r>
      <w:hyperlink r:id="rId6" w:history="1">
        <w:r w:rsidRPr="00813E5C">
          <w:rPr>
            <w:rStyle w:val="Hyperlink"/>
          </w:rPr>
          <w:t>qualityoflife@charlottenc.gov</w:t>
        </w:r>
      </w:hyperlink>
      <w:r>
        <w:t>.  Want a customized training or presentation for your group or organization? We can do that too! Send us an e-mail to schedule</w:t>
      </w:r>
      <w:r w:rsidR="00A86F35">
        <w:t xml:space="preserve"> at qualityoflife@charlottenc.gov</w:t>
      </w:r>
    </w:p>
    <w:p w:rsidR="00D45448" w:rsidRDefault="00D45448" w:rsidP="002A1657">
      <w:pPr>
        <w:pStyle w:val="NoSpacing"/>
      </w:pPr>
    </w:p>
    <w:sectPr w:rsidR="00D45448" w:rsidSect="00CB76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92B"/>
    <w:multiLevelType w:val="hybridMultilevel"/>
    <w:tmpl w:val="BC6E6616"/>
    <w:lvl w:ilvl="0" w:tplc="796828F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456F42"/>
    <w:multiLevelType w:val="hybridMultilevel"/>
    <w:tmpl w:val="16B0BF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9692D"/>
    <w:multiLevelType w:val="hybridMultilevel"/>
    <w:tmpl w:val="C7162F9A"/>
    <w:lvl w:ilvl="0" w:tplc="796828F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915D40"/>
    <w:multiLevelType w:val="hybridMultilevel"/>
    <w:tmpl w:val="6A9E8A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319A3"/>
    <w:multiLevelType w:val="hybridMultilevel"/>
    <w:tmpl w:val="7EB6A6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81416"/>
    <w:multiLevelType w:val="hybridMultilevel"/>
    <w:tmpl w:val="A4D874A8"/>
    <w:lvl w:ilvl="0" w:tplc="796828F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5305AFF"/>
    <w:multiLevelType w:val="hybridMultilevel"/>
    <w:tmpl w:val="6FDA7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E071A5"/>
    <w:multiLevelType w:val="hybridMultilevel"/>
    <w:tmpl w:val="82C68BF0"/>
    <w:lvl w:ilvl="0" w:tplc="796828F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C154BDF"/>
    <w:multiLevelType w:val="hybridMultilevel"/>
    <w:tmpl w:val="D6F04FF6"/>
    <w:lvl w:ilvl="0" w:tplc="796828F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57503D8"/>
    <w:multiLevelType w:val="hybridMultilevel"/>
    <w:tmpl w:val="6A9E8A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27879"/>
    <w:multiLevelType w:val="hybridMultilevel"/>
    <w:tmpl w:val="91C6D71E"/>
    <w:lvl w:ilvl="0" w:tplc="796828F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BC824FD"/>
    <w:multiLevelType w:val="hybridMultilevel"/>
    <w:tmpl w:val="490004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ED360E4"/>
    <w:multiLevelType w:val="hybridMultilevel"/>
    <w:tmpl w:val="56682D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384C8B"/>
    <w:multiLevelType w:val="hybridMultilevel"/>
    <w:tmpl w:val="6A9E8A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035605"/>
    <w:multiLevelType w:val="hybridMultilevel"/>
    <w:tmpl w:val="194A8892"/>
    <w:lvl w:ilvl="0" w:tplc="DB4EE67C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BAF38BC"/>
    <w:multiLevelType w:val="hybridMultilevel"/>
    <w:tmpl w:val="98B4B47A"/>
    <w:lvl w:ilvl="0" w:tplc="118800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"/>
  </w:num>
  <w:num w:numId="5">
    <w:abstractNumId w:val="3"/>
  </w:num>
  <w:num w:numId="6">
    <w:abstractNumId w:val="15"/>
  </w:num>
  <w:num w:numId="7">
    <w:abstractNumId w:val="6"/>
  </w:num>
  <w:num w:numId="8">
    <w:abstractNumId w:val="4"/>
  </w:num>
  <w:num w:numId="9">
    <w:abstractNumId w:val="11"/>
  </w:num>
  <w:num w:numId="10">
    <w:abstractNumId w:val="7"/>
  </w:num>
  <w:num w:numId="11">
    <w:abstractNumId w:val="8"/>
  </w:num>
  <w:num w:numId="12">
    <w:abstractNumId w:val="14"/>
  </w:num>
  <w:num w:numId="13">
    <w:abstractNumId w:val="10"/>
  </w:num>
  <w:num w:numId="14">
    <w:abstractNumId w:val="2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25"/>
    <w:rsid w:val="00061EE7"/>
    <w:rsid w:val="00103C3F"/>
    <w:rsid w:val="00120425"/>
    <w:rsid w:val="00182F94"/>
    <w:rsid w:val="001C0BEF"/>
    <w:rsid w:val="001C69BB"/>
    <w:rsid w:val="001E1137"/>
    <w:rsid w:val="002548CB"/>
    <w:rsid w:val="00294199"/>
    <w:rsid w:val="002A1657"/>
    <w:rsid w:val="002C44EA"/>
    <w:rsid w:val="002C5C4A"/>
    <w:rsid w:val="003C5415"/>
    <w:rsid w:val="003C7A79"/>
    <w:rsid w:val="003E6E09"/>
    <w:rsid w:val="00417162"/>
    <w:rsid w:val="00484FB1"/>
    <w:rsid w:val="00500B2A"/>
    <w:rsid w:val="00517C5D"/>
    <w:rsid w:val="0053662B"/>
    <w:rsid w:val="005452D3"/>
    <w:rsid w:val="005903EC"/>
    <w:rsid w:val="00590C8C"/>
    <w:rsid w:val="005E4D3C"/>
    <w:rsid w:val="0063675C"/>
    <w:rsid w:val="00770CE5"/>
    <w:rsid w:val="00890C36"/>
    <w:rsid w:val="008D2CE9"/>
    <w:rsid w:val="009932D0"/>
    <w:rsid w:val="00997EAE"/>
    <w:rsid w:val="009B78FD"/>
    <w:rsid w:val="00A12C25"/>
    <w:rsid w:val="00A30CEA"/>
    <w:rsid w:val="00A44F07"/>
    <w:rsid w:val="00A64BFF"/>
    <w:rsid w:val="00A70105"/>
    <w:rsid w:val="00A86F35"/>
    <w:rsid w:val="00A9742C"/>
    <w:rsid w:val="00AC63F1"/>
    <w:rsid w:val="00B515AB"/>
    <w:rsid w:val="00BB604A"/>
    <w:rsid w:val="00BD7EBB"/>
    <w:rsid w:val="00CB761B"/>
    <w:rsid w:val="00D003FB"/>
    <w:rsid w:val="00D23656"/>
    <w:rsid w:val="00D331C4"/>
    <w:rsid w:val="00D45448"/>
    <w:rsid w:val="00D72EA0"/>
    <w:rsid w:val="00D8168D"/>
    <w:rsid w:val="00DC5DDF"/>
    <w:rsid w:val="00DF5957"/>
    <w:rsid w:val="00E7788A"/>
    <w:rsid w:val="00F85606"/>
    <w:rsid w:val="00FA1945"/>
    <w:rsid w:val="00FD6477"/>
    <w:rsid w:val="00FE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76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2C2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2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C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2C2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76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778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778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Quote">
    <w:name w:val="Quote"/>
    <w:basedOn w:val="Normal"/>
    <w:next w:val="Normal"/>
    <w:link w:val="QuoteChar"/>
    <w:uiPriority w:val="29"/>
    <w:qFormat/>
    <w:rsid w:val="001C69B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C69BB"/>
    <w:rPr>
      <w:i/>
      <w:iCs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4171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76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2C2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2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C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2C2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76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778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778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Quote">
    <w:name w:val="Quote"/>
    <w:basedOn w:val="Normal"/>
    <w:next w:val="Normal"/>
    <w:link w:val="QuoteChar"/>
    <w:uiPriority w:val="29"/>
    <w:qFormat/>
    <w:rsid w:val="001C69B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C69BB"/>
    <w:rPr>
      <w:i/>
      <w:iCs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4171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qualityoflife@charlottenc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936</Words>
  <Characters>5246</Characters>
  <Application>Microsoft Office Word</Application>
  <DocSecurity>0</DocSecurity>
  <Lines>127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Charlotte, NC USA</Company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Bowen, Andrew</dc:creator>
  <cp:lastModifiedBy>Arena, Olivia</cp:lastModifiedBy>
  <cp:revision>2</cp:revision>
  <cp:lastPrinted>2015-07-15T13:32:00Z</cp:lastPrinted>
  <dcterms:created xsi:type="dcterms:W3CDTF">2017-02-06T23:19:00Z</dcterms:created>
  <dcterms:modified xsi:type="dcterms:W3CDTF">2017-02-06T23:19:00Z</dcterms:modified>
</cp:coreProperties>
</file>